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1D" w:rsidRPr="00BF3E04" w:rsidRDefault="003F60EF" w:rsidP="00330D62">
      <w:pPr>
        <w:tabs>
          <w:tab w:val="left" w:pos="284"/>
        </w:tabs>
        <w:spacing w:after="120" w:line="360" w:lineRule="auto"/>
        <w:jc w:val="center"/>
        <w:rPr>
          <w:i/>
          <w:sz w:val="28"/>
          <w:szCs w:val="28"/>
        </w:rPr>
      </w:pPr>
      <w:bookmarkStart w:id="0" w:name="_GoBack"/>
      <w:bookmarkEnd w:id="0"/>
      <w:r w:rsidRPr="00BF3E04">
        <w:rPr>
          <w:i/>
          <w:iCs/>
          <w:sz w:val="28"/>
          <w:szCs w:val="28"/>
        </w:rPr>
        <w:t xml:space="preserve">Postscript </w:t>
      </w:r>
      <w:r w:rsidR="00330D62">
        <w:rPr>
          <w:i/>
          <w:iCs/>
          <w:sz w:val="28"/>
          <w:szCs w:val="28"/>
        </w:rPr>
        <w:t>2016</w:t>
      </w:r>
    </w:p>
    <w:p w:rsidR="007E0765" w:rsidRPr="00BF3E04" w:rsidRDefault="003F60EF" w:rsidP="0050526E">
      <w:pPr>
        <w:tabs>
          <w:tab w:val="left" w:pos="284"/>
        </w:tabs>
        <w:spacing w:line="360" w:lineRule="auto"/>
      </w:pPr>
      <w:r w:rsidRPr="00BF3E04">
        <w:t>‘Of making many books there is no end.’</w:t>
      </w:r>
      <w:r w:rsidR="007A0EDE">
        <w:rPr>
          <w:rStyle w:val="FootnoteReference"/>
        </w:rPr>
        <w:footnoteReference w:id="1"/>
      </w:r>
      <w:r w:rsidR="005A5D97" w:rsidRPr="00BF3E04">
        <w:t xml:space="preserve"> In the period</w:t>
      </w:r>
      <w:r w:rsidRPr="00BF3E04">
        <w:t xml:space="preserve"> since this essay first appeared the literature by and about </w:t>
      </w:r>
      <w:smartTag w:uri="urn:schemas-microsoft-com:office:smarttags" w:element="State">
        <w:smartTag w:uri="urn:schemas-microsoft-com:office:smarttags" w:element="place">
          <w:r w:rsidRPr="00BF3E04">
            <w:t>Berlin</w:t>
          </w:r>
        </w:smartTag>
      </w:smartTag>
      <w:r w:rsidRPr="00BF3E04">
        <w:t xml:space="preserve"> has multiplied rather more than it has divided. That is to say, it has grown in bulk within the categories identified</w:t>
      </w:r>
      <w:r w:rsidR="005A5D97" w:rsidRPr="00BF3E04">
        <w:t xml:space="preserve"> here rather than</w:t>
      </w:r>
      <w:r w:rsidRPr="00BF3E04">
        <w:t xml:space="preserve"> developing into new ones</w:t>
      </w:r>
      <w:r w:rsidR="00C5359A">
        <w:t>,</w:t>
      </w:r>
      <w:r w:rsidR="005A5D97" w:rsidRPr="00BF3E04">
        <w:t xml:space="preserve"> on the whole</w:t>
      </w:r>
      <w:r w:rsidRPr="00BF3E04">
        <w:t xml:space="preserve">. </w:t>
      </w:r>
      <w:smartTag w:uri="urn:schemas-microsoft-com:office:smarttags" w:element="place">
        <w:smartTag w:uri="urn:schemas-microsoft-com:office:smarttags" w:element="State">
          <w:r w:rsidRPr="00BF3E04">
            <w:t>Berlin</w:t>
          </w:r>
        </w:smartTag>
      </w:smartTag>
      <w:r w:rsidRPr="00BF3E04">
        <w:t xml:space="preserve"> himself continues to publish more prolifically in death than in life, thanks to the firm guidance of Henry Hardy.</w:t>
      </w:r>
      <w:r w:rsidRPr="00BF3E04">
        <w:rPr>
          <w:vertAlign w:val="superscript"/>
        </w:rPr>
        <w:footnoteReference w:id="2"/>
      </w:r>
      <w:r w:rsidR="005A5D97" w:rsidRPr="00BF3E04">
        <w:t xml:space="preserve"> </w:t>
      </w:r>
      <w:smartTag w:uri="urn:schemas-microsoft-com:office:smarttags" w:element="place">
        <w:smartTag w:uri="urn:schemas-microsoft-com:office:smarttags" w:element="State">
          <w:r w:rsidR="005A5D97" w:rsidRPr="00BF3E04">
            <w:t>Berlin</w:t>
          </w:r>
        </w:smartTag>
      </w:smartTag>
      <w:r w:rsidRPr="00BF3E04">
        <w:t xml:space="preserve"> turned his neo-Kantianism to use in sketching a general trajectory of intellectual history, especially from 1760 to 1830, in the typescript of the early 1950s mentioned above: this has now appeared as </w:t>
      </w:r>
      <w:r w:rsidRPr="00BF3E04">
        <w:rPr>
          <w:i/>
        </w:rPr>
        <w:t>Political Ideas in the Romantic Age.</w:t>
      </w:r>
      <w:r w:rsidRPr="00BF3E04">
        <w:rPr>
          <w:vertAlign w:val="superscript"/>
        </w:rPr>
        <w:footnoteReference w:id="3"/>
      </w:r>
      <w:r w:rsidRPr="00BF3E04">
        <w:t xml:space="preserve"> The working out of this perspective into one specific form has been emphasised by the appearance of a revised edition of </w:t>
      </w:r>
      <w:smartTag w:uri="urn:schemas-microsoft-com:office:smarttags" w:element="State">
        <w:r w:rsidRPr="00BF3E04">
          <w:t>Berlin</w:t>
        </w:r>
      </w:smartTag>
      <w:r w:rsidRPr="00BF3E04">
        <w:t xml:space="preserve">’s </w:t>
      </w:r>
      <w:r w:rsidRPr="00BF3E04">
        <w:rPr>
          <w:i/>
        </w:rPr>
        <w:t>Russian Thinkers</w:t>
      </w:r>
      <w:r w:rsidRPr="00BF3E04">
        <w:t xml:space="preserve">, which presents his view of pre-1917 </w:t>
      </w:r>
      <w:smartTag w:uri="urn:schemas-microsoft-com:office:smarttags" w:element="country-region">
        <w:r w:rsidRPr="00BF3E04">
          <w:t>Russia</w:t>
        </w:r>
      </w:smartTag>
      <w:r w:rsidRPr="00BF3E04">
        <w:t>,</w:t>
      </w:r>
      <w:r w:rsidRPr="00BF3E04">
        <w:rPr>
          <w:vertAlign w:val="superscript"/>
        </w:rPr>
        <w:footnoteReference w:id="4"/>
      </w:r>
      <w:r w:rsidRPr="00BF3E04">
        <w:t xml:space="preserve"> and this complements a collection of his essays on post-1917 </w:t>
      </w:r>
      <w:smartTag w:uri="urn:schemas-microsoft-com:office:smarttags" w:element="place">
        <w:smartTag w:uri="urn:schemas-microsoft-com:office:smarttags" w:element="country-region">
          <w:r w:rsidRPr="00BF3E04">
            <w:t>Russia</w:t>
          </w:r>
        </w:smartTag>
      </w:smartTag>
      <w:r w:rsidRPr="00BF3E04">
        <w:t xml:space="preserve"> under the title </w:t>
      </w:r>
      <w:r w:rsidRPr="00BF3E04">
        <w:rPr>
          <w:i/>
        </w:rPr>
        <w:t>The Soviet Mind</w:t>
      </w:r>
      <w:r w:rsidRPr="00BF3E04">
        <w:t>.</w:t>
      </w:r>
      <w:r w:rsidRPr="00BF3E04">
        <w:rPr>
          <w:vertAlign w:val="superscript"/>
        </w:rPr>
        <w:footnoteReference w:id="5"/>
      </w:r>
      <w:r w:rsidRPr="00BF3E04">
        <w:t xml:space="preserve"> </w:t>
      </w:r>
    </w:p>
    <w:p w:rsidR="007E0765" w:rsidRPr="00BF3E04" w:rsidRDefault="007E0765" w:rsidP="0050526E">
      <w:pPr>
        <w:tabs>
          <w:tab w:val="left" w:pos="284"/>
        </w:tabs>
        <w:spacing w:line="360" w:lineRule="auto"/>
      </w:pPr>
    </w:p>
    <w:p w:rsidR="00517AFD" w:rsidRDefault="003F60EF" w:rsidP="007A0EDE">
      <w:pPr>
        <w:tabs>
          <w:tab w:val="left" w:pos="284"/>
        </w:tabs>
        <w:spacing w:line="360" w:lineRule="auto"/>
        <w:ind w:firstLine="284"/>
        <w:rPr>
          <w:i/>
          <w:iCs/>
        </w:rPr>
      </w:pPr>
      <w:r w:rsidRPr="00BF3E04">
        <w:t xml:space="preserve">If these have been </w:t>
      </w:r>
      <w:smartTag w:uri="urn:schemas-microsoft-com:office:smarttags" w:element="State">
        <w:smartTag w:uri="urn:schemas-microsoft-com:office:smarttags" w:element="place">
          <w:r w:rsidRPr="00BF3E04">
            <w:t>Berlin</w:t>
          </w:r>
        </w:smartTag>
      </w:smartTag>
      <w:r w:rsidRPr="00BF3E04">
        <w:t xml:space="preserve">’s principal writings of the decade, his thought (and much besides) can be studied in the making by reading his published letters, which Hardy has been bringing out since 2004. </w:t>
      </w:r>
      <w:smartTag w:uri="urn:schemas-microsoft-com:office:smarttags" w:element="place">
        <w:smartTag w:uri="urn:schemas-microsoft-com:office:smarttags" w:element="State">
          <w:r w:rsidRPr="00BF3E04">
            <w:t>Berlin</w:t>
          </w:r>
        </w:smartTag>
      </w:smartTag>
      <w:r w:rsidRPr="00BF3E04">
        <w:t>’s essay of 1928 on ‘Freedom’, which adumbrates some characteristic themes, is printed in the first volume of his correspondence.</w:t>
      </w:r>
      <w:r w:rsidRPr="00BF3E04">
        <w:rPr>
          <w:vertAlign w:val="superscript"/>
        </w:rPr>
        <w:footnoteReference w:id="6"/>
      </w:r>
      <w:r w:rsidRPr="00BF3E04">
        <w:t xml:space="preserve"> The second volume is important for information about the period in which most of the writings printed in the present volume were first written.</w:t>
      </w:r>
      <w:r w:rsidRPr="00BF3E04">
        <w:rPr>
          <w:vertAlign w:val="superscript"/>
        </w:rPr>
        <w:footnoteReference w:id="7"/>
      </w:r>
      <w:r w:rsidRPr="00BF3E04">
        <w:t xml:space="preserve"> The third volume, edited by Hardy and Mark Pottle, covers </w:t>
      </w:r>
      <w:r w:rsidRPr="007A0EDE">
        <w:t xml:space="preserve">1960 to 1975, and sees </w:t>
      </w:r>
      <w:smartTag w:uri="urn:schemas-microsoft-com:office:smarttags" w:element="State">
        <w:r w:rsidRPr="007A0EDE">
          <w:t>Berlin</w:t>
        </w:r>
      </w:smartTag>
      <w:r w:rsidRPr="007A0EDE">
        <w:t xml:space="preserve"> founding </w:t>
      </w:r>
      <w:smartTag w:uri="urn:schemas-microsoft-com:office:smarttags" w:element="PlaceName">
        <w:r w:rsidRPr="007A0EDE">
          <w:t>Wolfson</w:t>
        </w:r>
      </w:smartTag>
      <w:r w:rsidRPr="007A0EDE">
        <w:t xml:space="preserve"> </w:t>
      </w:r>
      <w:smartTag w:uri="urn:schemas-microsoft-com:office:smarttags" w:element="PlaceType">
        <w:r w:rsidRPr="007A0EDE">
          <w:t>College</w:t>
        </w:r>
      </w:smartTag>
      <w:r w:rsidRPr="007A0EDE">
        <w:t xml:space="preserve">, </w:t>
      </w:r>
      <w:smartTag w:uri="urn:schemas-microsoft-com:office:smarttags" w:element="City">
        <w:smartTag w:uri="urn:schemas-microsoft-com:office:smarttags" w:element="place">
          <w:r w:rsidRPr="007A0EDE">
            <w:t>Oxford</w:t>
          </w:r>
        </w:smartTag>
      </w:smartTag>
      <w:r w:rsidRPr="007A0EDE">
        <w:t>.</w:t>
      </w:r>
      <w:r w:rsidRPr="007A0EDE">
        <w:rPr>
          <w:vertAlign w:val="superscript"/>
        </w:rPr>
        <w:footnoteReference w:id="8"/>
      </w:r>
      <w:r w:rsidRPr="007A0EDE">
        <w:t xml:space="preserve"> </w:t>
      </w:r>
      <w:r w:rsidR="00517AFD" w:rsidRPr="007A0EDE">
        <w:t>The</w:t>
      </w:r>
      <w:r w:rsidR="00517AFD" w:rsidRPr="007A0EDE">
        <w:rPr>
          <w:i/>
          <w:iCs/>
        </w:rPr>
        <w:t xml:space="preserve"> </w:t>
      </w:r>
      <w:r w:rsidR="00517AFD" w:rsidRPr="007A0EDE">
        <w:t xml:space="preserve">final volume, again </w:t>
      </w:r>
      <w:r w:rsidR="00517AFD" w:rsidRPr="007A0EDE">
        <w:rPr>
          <w:iCs/>
        </w:rPr>
        <w:t>co-edited with Mark Pottle, shows Berlin responding to requests from his readers to clarify his ideas.</w:t>
      </w:r>
      <w:r w:rsidR="00517AFD" w:rsidRPr="007A0EDE">
        <w:rPr>
          <w:iCs/>
          <w:vertAlign w:val="superscript"/>
        </w:rPr>
        <w:footnoteReference w:id="9"/>
      </w:r>
      <w:r w:rsidR="00517AFD" w:rsidRPr="007A0EDE">
        <w:rPr>
          <w:iCs/>
        </w:rPr>
        <w:t xml:space="preserve"> </w:t>
      </w:r>
      <w:r w:rsidRPr="007A0EDE">
        <w:t>Retrospective</w:t>
      </w:r>
      <w:r w:rsidRPr="00BF3E04">
        <w:t xml:space="preserve"> clarification and self-interpretation, besides late reflections, by </w:t>
      </w:r>
      <w:smartTag w:uri="urn:schemas-microsoft-com:office:smarttags" w:element="State">
        <w:r w:rsidRPr="00BF3E04">
          <w:t>Berlin</w:t>
        </w:r>
      </w:smartTag>
      <w:r w:rsidRPr="00BF3E04">
        <w:t xml:space="preserve"> are </w:t>
      </w:r>
      <w:r w:rsidR="00517AFD">
        <w:t xml:space="preserve">also </w:t>
      </w:r>
      <w:r w:rsidRPr="00BF3E04">
        <w:t xml:space="preserve">to be found in Isaiah </w:t>
      </w:r>
      <w:smartTag w:uri="urn:schemas-microsoft-com:office:smarttags" w:element="place">
        <w:smartTag w:uri="urn:schemas-microsoft-com:office:smarttags" w:element="State">
          <w:r w:rsidRPr="00BF3E04">
            <w:t>Berlin</w:t>
          </w:r>
        </w:smartTag>
      </w:smartTag>
      <w:r w:rsidRPr="00BF3E04">
        <w:t xml:space="preserve"> and Beata Polanowska-Sygulska, </w:t>
      </w:r>
      <w:r w:rsidRPr="00BF3E04">
        <w:rPr>
          <w:i/>
        </w:rPr>
        <w:t>Unfinished Dialogue</w:t>
      </w:r>
      <w:r w:rsidRPr="00BF3E04">
        <w:t>, which includes further letters.</w:t>
      </w:r>
      <w:r w:rsidRPr="00BF3E04">
        <w:rPr>
          <w:vertAlign w:val="superscript"/>
        </w:rPr>
        <w:footnoteReference w:id="10"/>
      </w:r>
      <w:r w:rsidRPr="00BF3E04">
        <w:t xml:space="preserve"> There are more in Andrzej Walicki, </w:t>
      </w:r>
      <w:r w:rsidRPr="00BF3E04">
        <w:rPr>
          <w:i/>
          <w:iCs/>
        </w:rPr>
        <w:t xml:space="preserve">Encounters with Isaiah </w:t>
      </w:r>
      <w:smartTag w:uri="urn:schemas-microsoft-com:office:smarttags" w:element="place">
        <w:smartTag w:uri="urn:schemas-microsoft-com:office:smarttags" w:element="State">
          <w:r w:rsidRPr="00BF3E04">
            <w:rPr>
              <w:i/>
              <w:iCs/>
            </w:rPr>
            <w:t>Berlin</w:t>
          </w:r>
        </w:smartTag>
      </w:smartTag>
      <w:r w:rsidRPr="00BF3E04">
        <w:rPr>
          <w:i/>
          <w:iCs/>
        </w:rPr>
        <w:t>: Story of an Intellectual Friendship.</w:t>
      </w:r>
      <w:r w:rsidRPr="00BF3E04">
        <w:rPr>
          <w:iCs/>
          <w:vertAlign w:val="superscript"/>
        </w:rPr>
        <w:footnoteReference w:id="11"/>
      </w:r>
    </w:p>
    <w:p w:rsidR="003F60EF" w:rsidRPr="00BF3E04" w:rsidRDefault="003F60EF" w:rsidP="00517AFD">
      <w:pPr>
        <w:tabs>
          <w:tab w:val="left" w:pos="284"/>
        </w:tabs>
        <w:spacing w:line="360" w:lineRule="auto"/>
        <w:ind w:firstLine="284"/>
      </w:pPr>
      <w:r w:rsidRPr="00BF3E04">
        <w:t xml:space="preserve">Berlin’s early writings and their historical setting claimed much more attention than they did in the years up to 2002. Arie M. Dubnov gives detailed attention to these (and much else), with special emphasis on the Jewish dimension, in </w:t>
      </w:r>
      <w:r w:rsidRPr="00BF3E04">
        <w:rPr>
          <w:i/>
        </w:rPr>
        <w:t>Isaiah Berlin: The Journey of a Jewish Liberal</w:t>
      </w:r>
      <w:r w:rsidRPr="00BF3E04">
        <w:t>.</w:t>
      </w:r>
      <w:r w:rsidRPr="00BF3E04">
        <w:rPr>
          <w:vertAlign w:val="superscript"/>
        </w:rPr>
        <w:footnoteReference w:id="12"/>
      </w:r>
      <w:r w:rsidRPr="00BF3E04">
        <w:t xml:space="preserve"> Joshua Cherniss examines ‘Isaiah </w:t>
      </w:r>
      <w:smartTag w:uri="urn:schemas-microsoft-com:office:smarttags" w:element="State">
        <w:r w:rsidRPr="00BF3E04">
          <w:t>Berlin</w:t>
        </w:r>
      </w:smartTag>
      <w:r w:rsidRPr="00BF3E04">
        <w:t>’s Early Political Thought’ and Terrell Carver assesses ‘</w:t>
      </w:r>
      <w:smartTag w:uri="urn:schemas-microsoft-com:office:smarttags" w:element="place">
        <w:smartTag w:uri="urn:schemas-microsoft-com:office:smarttags" w:element="State">
          <w:r w:rsidRPr="00BF3E04">
            <w:t>Berlin</w:t>
          </w:r>
        </w:smartTag>
      </w:smartTag>
      <w:r w:rsidRPr="00BF3E04">
        <w:t>’s Karl Marx’.</w:t>
      </w:r>
      <w:r w:rsidRPr="00BF3E04">
        <w:rPr>
          <w:vertAlign w:val="superscript"/>
        </w:rPr>
        <w:footnoteReference w:id="13"/>
      </w:r>
      <w:r w:rsidRPr="00BF3E04">
        <w:t xml:space="preserve"> Avery Plaw considers ‘Isaiah </w:t>
      </w:r>
      <w:smartTag w:uri="urn:schemas-microsoft-com:office:smarttags" w:element="place">
        <w:smartTag w:uri="urn:schemas-microsoft-com:office:smarttags" w:element="State">
          <w:r w:rsidRPr="00BF3E04">
            <w:t>Berlin</w:t>
          </w:r>
        </w:smartTag>
      </w:smartTag>
      <w:r w:rsidRPr="00BF3E04">
        <w:t xml:space="preserve"> and the Plurality of Histories: Two Concepts of Karl Marx’.</w:t>
      </w:r>
      <w:r w:rsidRPr="00BF3E04">
        <w:rPr>
          <w:vertAlign w:val="superscript"/>
        </w:rPr>
        <w:footnoteReference w:id="14"/>
      </w:r>
      <w:r w:rsidRPr="00BF3E04">
        <w:t xml:space="preserve"> The development of </w:t>
      </w:r>
      <w:smartTag w:uri="urn:schemas-microsoft-com:office:smarttags" w:element="State">
        <w:smartTag w:uri="urn:schemas-microsoft-com:office:smarttags" w:element="place">
          <w:r w:rsidRPr="00BF3E04">
            <w:t>Berlin</w:t>
          </w:r>
        </w:smartTag>
      </w:smartTag>
      <w:r w:rsidRPr="00BF3E04">
        <w:t xml:space="preserve">’s </w:t>
      </w:r>
      <w:r w:rsidRPr="00BF3E04">
        <w:lastRenderedPageBreak/>
        <w:t xml:space="preserve">political thought is considered at length in Cherniss’s </w:t>
      </w:r>
      <w:r w:rsidR="007E0765" w:rsidRPr="00BF3E04">
        <w:t xml:space="preserve">monograph </w:t>
      </w:r>
      <w:r w:rsidRPr="00BF3E04">
        <w:rPr>
          <w:i/>
        </w:rPr>
        <w:t>A Mind and Its Time</w:t>
      </w:r>
      <w:r w:rsidRPr="00BF3E04">
        <w:t>.</w:t>
      </w:r>
      <w:r w:rsidRPr="00BF3E04">
        <w:rPr>
          <w:vertAlign w:val="superscript"/>
        </w:rPr>
        <w:footnoteReference w:id="15"/>
      </w:r>
      <w:r w:rsidRPr="00BF3E04">
        <w:t xml:space="preserve"> Robert Wokler provides ‘A Guide to Isaiah </w:t>
      </w:r>
      <w:smartTag w:uri="urn:schemas-microsoft-com:office:smarttags" w:element="State">
        <w:r w:rsidRPr="00BF3E04">
          <w:t>Berlin</w:t>
        </w:r>
      </w:smartTag>
      <w:r w:rsidRPr="00BF3E04">
        <w:t xml:space="preserve">’s </w:t>
      </w:r>
      <w:r w:rsidRPr="00BF3E04">
        <w:rPr>
          <w:i/>
        </w:rPr>
        <w:t>Political Ideas in the Romantic Age</w:t>
      </w:r>
      <w:r w:rsidRPr="00BF3E04">
        <w:t>’,</w:t>
      </w:r>
      <w:r w:rsidRPr="00BF3E04">
        <w:rPr>
          <w:vertAlign w:val="superscript"/>
        </w:rPr>
        <w:footnoteReference w:id="16"/>
      </w:r>
      <w:r w:rsidRPr="00BF3E04">
        <w:t xml:space="preserve"> while Graeme Garrard compares </w:t>
      </w:r>
      <w:smartTag w:uri="urn:schemas-microsoft-com:office:smarttags" w:element="place">
        <w:smartTag w:uri="urn:schemas-microsoft-com:office:smarttags" w:element="State">
          <w:r w:rsidRPr="00BF3E04">
            <w:t>Berlin</w:t>
          </w:r>
        </w:smartTag>
      </w:smartTag>
      <w:r w:rsidRPr="00BF3E04">
        <w:t xml:space="preserve"> with Talmon in his </w:t>
      </w:r>
      <w:r w:rsidRPr="00BF3E04">
        <w:rPr>
          <w:i/>
          <w:iCs/>
        </w:rPr>
        <w:t>Counter-Enlightenments: From the Eighteenth Century to the Present</w:t>
      </w:r>
      <w:r w:rsidRPr="00BF3E04">
        <w:rPr>
          <w:iCs/>
        </w:rPr>
        <w:t>.</w:t>
      </w:r>
      <w:r w:rsidRPr="00BF3E04">
        <w:rPr>
          <w:iCs/>
          <w:vertAlign w:val="superscript"/>
        </w:rPr>
        <w:footnoteReference w:id="17"/>
      </w:r>
      <w:r w:rsidRPr="00BF3E04">
        <w:rPr>
          <w:iCs/>
        </w:rPr>
        <w:t xml:space="preserve"> </w:t>
      </w:r>
      <w:r w:rsidRPr="00BF3E04">
        <w:t xml:space="preserve">Philosophical questions implicit in </w:t>
      </w:r>
      <w:smartTag w:uri="urn:schemas-microsoft-com:office:smarttags" w:element="State">
        <w:r w:rsidRPr="00BF3E04">
          <w:t>Berlin</w:t>
        </w:r>
      </w:smartTag>
      <w:r w:rsidRPr="00BF3E04">
        <w:t xml:space="preserve">’s intellectual history are considered by Jamie Reed, ‘From Logical Positivism to </w:t>
      </w:r>
      <w:r w:rsidR="007E0765" w:rsidRPr="00BF3E04">
        <w:t>‘</w:t>
      </w:r>
      <w:r w:rsidRPr="00BF3E04">
        <w:t xml:space="preserve">“Metaphysical Rationalism”: Isaiah </w:t>
      </w:r>
      <w:smartTag w:uri="urn:schemas-microsoft-com:office:smarttags" w:element="State">
        <w:smartTag w:uri="urn:schemas-microsoft-com:office:smarttags" w:element="place">
          <w:r w:rsidRPr="00BF3E04">
            <w:t>Berlin</w:t>
          </w:r>
        </w:smartTag>
      </w:smartTag>
      <w:r w:rsidRPr="00BF3E04">
        <w:t xml:space="preserve"> on the “Fallacy of Reduction”’.</w:t>
      </w:r>
      <w:r w:rsidRPr="00BF3E04">
        <w:rPr>
          <w:vertAlign w:val="superscript"/>
        </w:rPr>
        <w:footnoteReference w:id="18"/>
      </w:r>
      <w:r w:rsidRPr="00BF3E04">
        <w:t xml:space="preserve"> Another sort of movement is noted in Alessandro Della Casa, ‘</w:t>
      </w:r>
      <w:smartTag w:uri="urn:schemas-microsoft-com:office:smarttags" w:element="place">
        <w:smartTag w:uri="urn:schemas-microsoft-com:office:smarttags" w:element="State">
          <w:r w:rsidRPr="00BF3E04">
            <w:t>Berlin</w:t>
          </w:r>
        </w:smartTag>
      </w:smartTag>
      <w:r w:rsidRPr="00BF3E04">
        <w:t xml:space="preserve"> lettore di Marx: pluralismo dei valori e natura umana’.</w:t>
      </w:r>
      <w:r w:rsidRPr="00BF3E04">
        <w:rPr>
          <w:vertAlign w:val="superscript"/>
        </w:rPr>
        <w:footnoteReference w:id="19"/>
      </w:r>
      <w:r w:rsidRPr="00BF3E04">
        <w:t xml:space="preserve"> Though not about </w:t>
      </w:r>
      <w:smartTag w:uri="urn:schemas-microsoft-com:office:smarttags" w:element="place">
        <w:smartTag w:uri="urn:schemas-microsoft-com:office:smarttags" w:element="State">
          <w:r w:rsidRPr="00BF3E04">
            <w:t>Berlin</w:t>
          </w:r>
        </w:smartTag>
      </w:smartTag>
      <w:r w:rsidRPr="00BF3E04">
        <w:t xml:space="preserve"> specifically, Jan-Werner Müller, </w:t>
      </w:r>
      <w:r w:rsidRPr="00BF3E04">
        <w:rPr>
          <w:i/>
        </w:rPr>
        <w:t>Contesting Democracy</w:t>
      </w:r>
      <w:r w:rsidRPr="00BF3E04">
        <w:t xml:space="preserve">: </w:t>
      </w:r>
      <w:r w:rsidRPr="00BF3E04">
        <w:rPr>
          <w:i/>
        </w:rPr>
        <w:t>Political Ideas in Twentieth-Century Europe</w:t>
      </w:r>
      <w:r w:rsidRPr="00BF3E04">
        <w:t>,</w:t>
      </w:r>
      <w:r w:rsidRPr="00BF3E04">
        <w:rPr>
          <w:vertAlign w:val="superscript"/>
        </w:rPr>
        <w:footnoteReference w:id="20"/>
      </w:r>
      <w:r w:rsidRPr="00BF3E04">
        <w:t xml:space="preserve"> refers to him and contains much about the broader scene which he contemplated. </w:t>
      </w:r>
    </w:p>
    <w:p w:rsidR="003F60EF" w:rsidRPr="00BF3E04" w:rsidRDefault="003F60EF" w:rsidP="005A546D">
      <w:pPr>
        <w:tabs>
          <w:tab w:val="left" w:pos="284"/>
        </w:tabs>
        <w:spacing w:line="360" w:lineRule="auto"/>
        <w:ind w:firstLine="284"/>
      </w:pPr>
      <w:r w:rsidRPr="00BF3E04">
        <w:t xml:space="preserve">‘Two Concepts of Liberty’ continues to attract attention. </w:t>
      </w:r>
      <w:smartTag w:uri="urn:schemas-microsoft-com:office:smarttags" w:element="place">
        <w:smartTag w:uri="urn:schemas-microsoft-com:office:smarttags" w:element="State">
          <w:r w:rsidRPr="00BF3E04">
            <w:t>Berlin</w:t>
          </w:r>
        </w:smartTag>
      </w:smartTag>
      <w:r w:rsidRPr="00BF3E04">
        <w:t>’s reading of negative and positive freedom has been examined by Theodore L. Putterman.</w:t>
      </w:r>
      <w:r w:rsidRPr="00BF3E04">
        <w:rPr>
          <w:vertAlign w:val="superscript"/>
        </w:rPr>
        <w:footnoteReference w:id="21"/>
      </w:r>
      <w:r w:rsidRPr="00BF3E04">
        <w:t xml:space="preserve"> John Christman seeks to save what he takes to be positive freedom.</w:t>
      </w:r>
      <w:r w:rsidRPr="00BF3E04">
        <w:rPr>
          <w:vertAlign w:val="superscript"/>
        </w:rPr>
        <w:footnoteReference w:id="22"/>
      </w:r>
      <w:r w:rsidRPr="00BF3E04">
        <w:t xml:space="preserve"> Positive freedom has been considered more broadly by Adam Swift, who unpicks several of the strands woven together in ‘Two Concepts’, and finds more to say for some of these than Berlin did.</w:t>
      </w:r>
      <w:r w:rsidRPr="00BF3E04">
        <w:rPr>
          <w:vertAlign w:val="superscript"/>
        </w:rPr>
        <w:footnoteReference w:id="23"/>
      </w:r>
      <w:r w:rsidRPr="00BF3E04">
        <w:t xml:space="preserve"> Quentin Skinner proposes an increase in concepts in ‘A Third Concept of Liberty’,</w:t>
      </w:r>
      <w:r w:rsidRPr="00BF3E04">
        <w:rPr>
          <w:vertAlign w:val="superscript"/>
        </w:rPr>
        <w:footnoteReference w:id="24"/>
      </w:r>
      <w:r w:rsidRPr="00BF3E04">
        <w:t xml:space="preserve"> but Eric Nelson considers the desirability of a reduction in number to one.</w:t>
      </w:r>
      <w:r w:rsidRPr="00BF3E04">
        <w:rPr>
          <w:vertAlign w:val="superscript"/>
        </w:rPr>
        <w:footnoteReference w:id="25"/>
      </w:r>
      <w:r w:rsidRPr="00BF3E04">
        <w:t xml:space="preserve"> The relations between knowledge and liberty are consid</w:t>
      </w:r>
      <w:r w:rsidR="007E0765" w:rsidRPr="00BF3E04">
        <w:t>ered in Mark Bode, ‘Everything Is</w:t>
      </w:r>
      <w:r w:rsidRPr="00BF3E04">
        <w:t xml:space="preserve"> What It Is, and Not Another Thing: Knowledge and Freedom in Isaiah </w:t>
      </w:r>
      <w:smartTag w:uri="urn:schemas-microsoft-com:office:smarttags" w:element="State">
        <w:smartTag w:uri="urn:schemas-microsoft-com:office:smarttags" w:element="place">
          <w:r w:rsidRPr="00BF3E04">
            <w:t>Berlin</w:t>
          </w:r>
        </w:smartTag>
      </w:smartTag>
      <w:r w:rsidRPr="00BF3E04">
        <w:t>’s Political Thought’.</w:t>
      </w:r>
      <w:r w:rsidRPr="00BF3E04">
        <w:rPr>
          <w:vertAlign w:val="superscript"/>
        </w:rPr>
        <w:footnoteReference w:id="26"/>
      </w:r>
      <w:r w:rsidRPr="00BF3E04">
        <w:t xml:space="preserve"> For the application of another perspective on freedom to </w:t>
      </w:r>
      <w:smartTag w:uri="urn:schemas-microsoft-com:office:smarttags" w:element="State">
        <w:r w:rsidRPr="00BF3E04">
          <w:t>Berlin</w:t>
        </w:r>
      </w:smartTag>
      <w:r w:rsidRPr="00BF3E04">
        <w:t xml:space="preserve">’s work, see Philip Pettit, </w:t>
      </w:r>
      <w:r w:rsidRPr="00BF3E04">
        <w:lastRenderedPageBreak/>
        <w:t xml:space="preserve">‘The Instability of Freedom as Noninterference: The Case of Isaiah </w:t>
      </w:r>
      <w:smartTag w:uri="urn:schemas-microsoft-com:office:smarttags" w:element="place">
        <w:smartTag w:uri="urn:schemas-microsoft-com:office:smarttags" w:element="State">
          <w:r w:rsidRPr="00BF3E04">
            <w:t>Berlin</w:t>
          </w:r>
        </w:smartTag>
      </w:smartTag>
      <w:r w:rsidRPr="00BF3E04">
        <w:t>’.</w:t>
      </w:r>
      <w:r w:rsidRPr="00BF3E04">
        <w:rPr>
          <w:vertAlign w:val="superscript"/>
        </w:rPr>
        <w:footnoteReference w:id="27"/>
      </w:r>
      <w:r w:rsidRPr="00BF3E04">
        <w:t xml:space="preserve"> A view of some of the intellectual history implied in </w:t>
      </w:r>
      <w:r w:rsidRPr="00BF3E04">
        <w:rPr>
          <w:i/>
        </w:rPr>
        <w:t xml:space="preserve">Two Concepts </w:t>
      </w:r>
      <w:r w:rsidRPr="00BF3E04">
        <w:t>is found in two essays by David Lay Williams.</w:t>
      </w:r>
      <w:r w:rsidRPr="00BF3E04">
        <w:rPr>
          <w:vertAlign w:val="superscript"/>
        </w:rPr>
        <w:footnoteReference w:id="28"/>
      </w:r>
      <w:r w:rsidRPr="00BF3E04">
        <w:t xml:space="preserve"> The lecture is considered from a variety of viewpoints, and with an eye to its continuing importance, in </w:t>
      </w:r>
      <w:r w:rsidRPr="00BF3E04">
        <w:rPr>
          <w:i/>
        </w:rPr>
        <w:t>Isaiah Berlin and the Politics of Freedom</w:t>
      </w:r>
      <w:r w:rsidRPr="00BF3E04">
        <w:t>.</w:t>
      </w:r>
      <w:r w:rsidRPr="00BF3E04">
        <w:rPr>
          <w:vertAlign w:val="superscript"/>
        </w:rPr>
        <w:footnoteReference w:id="29"/>
      </w:r>
    </w:p>
    <w:p w:rsidR="003F60EF" w:rsidRPr="00BF3E04" w:rsidRDefault="003F60EF" w:rsidP="00C5359A">
      <w:pPr>
        <w:tabs>
          <w:tab w:val="left" w:pos="284"/>
        </w:tabs>
        <w:spacing w:line="360" w:lineRule="auto"/>
        <w:ind w:firstLine="284"/>
        <w:rPr>
          <w:lang w:val="en-US"/>
        </w:rPr>
      </w:pPr>
      <w:r w:rsidRPr="00BF3E04">
        <w:rPr>
          <w:lang w:val="en-US"/>
        </w:rPr>
        <w:t>The question of pluralism and relativism has been considered by Jason Ferrell</w:t>
      </w:r>
      <w:r w:rsidRPr="00BF3E04">
        <w:rPr>
          <w:vertAlign w:val="superscript"/>
          <w:lang w:val="en-US"/>
        </w:rPr>
        <w:footnoteReference w:id="30"/>
      </w:r>
      <w:r w:rsidRPr="00BF3E04">
        <w:rPr>
          <w:lang w:val="en-US"/>
        </w:rPr>
        <w:t xml:space="preserve"> and by Matthew J. Moore.</w:t>
      </w:r>
      <w:r w:rsidRPr="00BF3E04">
        <w:rPr>
          <w:vertAlign w:val="superscript"/>
          <w:lang w:val="en-US"/>
        </w:rPr>
        <w:footnoteReference w:id="31"/>
      </w:r>
      <w:r w:rsidRPr="00BF3E04">
        <w:rPr>
          <w:lang w:val="en-US"/>
        </w:rPr>
        <w:t xml:space="preserve"> The connection (or lack of it) between liberalism and pluralism has attracted a great deal of attention. Jonathan Riley considers ‘Defending Cultural Pluralism within Liberal Limits’,</w:t>
      </w:r>
      <w:r w:rsidRPr="00BF3E04">
        <w:rPr>
          <w:vertAlign w:val="superscript"/>
          <w:lang w:val="en-US"/>
        </w:rPr>
        <w:footnoteReference w:id="32"/>
      </w:r>
      <w:r w:rsidRPr="00BF3E04">
        <w:rPr>
          <w:lang w:val="en-US"/>
        </w:rPr>
        <w:t xml:space="preserve"> whilst Gerald F. Gaus asks about ‘Pluralistic Liberalism: Making Do without Public Reason?’</w:t>
      </w:r>
      <w:r w:rsidRPr="00BF3E04">
        <w:rPr>
          <w:vertAlign w:val="superscript"/>
          <w:lang w:val="en-US"/>
        </w:rPr>
        <w:footnoteReference w:id="33"/>
      </w:r>
      <w:r w:rsidRPr="00BF3E04">
        <w:rPr>
          <w:lang w:val="en-US"/>
        </w:rPr>
        <w:t xml:space="preserve"> On the other hand, William A. Galston in his </w:t>
      </w:r>
      <w:r w:rsidRPr="00BF3E04">
        <w:rPr>
          <w:i/>
          <w:lang w:val="en-US"/>
        </w:rPr>
        <w:t>Liberal Pluralism: The Implications of Value Pluralism for Political Theory and Practice</w:t>
      </w:r>
      <w:r w:rsidRPr="00BF3E04">
        <w:rPr>
          <w:lang w:val="en-US"/>
        </w:rPr>
        <w:t>,</w:t>
      </w:r>
      <w:r w:rsidRPr="00BF3E04">
        <w:rPr>
          <w:vertAlign w:val="superscript"/>
          <w:lang w:val="en-US"/>
        </w:rPr>
        <w:footnoteReference w:id="34"/>
      </w:r>
      <w:r w:rsidRPr="00BF3E04">
        <w:rPr>
          <w:lang w:val="en-US"/>
        </w:rPr>
        <w:t xml:space="preserve"> amidst much else, argues briefly in favour of a Berlinian account. George Crowder, building on the revised position he adopted in </w:t>
      </w:r>
      <w:r w:rsidRPr="00BF3E04">
        <w:rPr>
          <w:i/>
          <w:lang w:val="en-US"/>
        </w:rPr>
        <w:t>Liberalism and Value Pluralism</w:t>
      </w:r>
      <w:r w:rsidRPr="00BF3E04">
        <w:rPr>
          <w:lang w:val="en-US"/>
        </w:rPr>
        <w:t>, sees a close relationship between the two. His full-length treatment of Berlin as a contemporary thinker</w:t>
      </w:r>
      <w:r w:rsidRPr="00BF3E04">
        <w:rPr>
          <w:vertAlign w:val="superscript"/>
          <w:lang w:val="en-US"/>
        </w:rPr>
        <w:footnoteReference w:id="35"/>
      </w:r>
      <w:r w:rsidRPr="00BF3E04">
        <w:rPr>
          <w:lang w:val="en-US"/>
        </w:rPr>
        <w:t xml:space="preserve"> sees him</w:t>
      </w:r>
      <w:r w:rsidR="00DC7979" w:rsidRPr="00BF3E04">
        <w:rPr>
          <w:lang w:val="en-US"/>
        </w:rPr>
        <w:t xml:space="preserve"> in </w:t>
      </w:r>
      <w:r w:rsidR="00C5359A" w:rsidRPr="00BF3E04">
        <w:rPr>
          <w:lang w:val="en-US"/>
        </w:rPr>
        <w:t>recogni</w:t>
      </w:r>
      <w:r w:rsidR="00C5359A">
        <w:rPr>
          <w:lang w:val="en-US"/>
        </w:rPr>
        <w:t>s</w:t>
      </w:r>
      <w:r w:rsidR="00C5359A" w:rsidRPr="00BF3E04">
        <w:rPr>
          <w:lang w:val="en-US"/>
        </w:rPr>
        <w:t xml:space="preserve">able </w:t>
      </w:r>
      <w:r w:rsidR="00DC7979" w:rsidRPr="00BF3E04">
        <w:rPr>
          <w:lang w:val="en-US"/>
        </w:rPr>
        <w:t>form</w:t>
      </w:r>
      <w:r w:rsidRPr="00BF3E04">
        <w:rPr>
          <w:lang w:val="en-US"/>
        </w:rPr>
        <w:t xml:space="preserve"> as devoted to exposing the roots of twentieth-century totalitarianism in a way that ends with – and in Crowder’s account emphasises most strongly – value pluralism. A liberal–pluralist nexus is the central concern of </w:t>
      </w:r>
      <w:r w:rsidRPr="00BF3E04">
        <w:rPr>
          <w:i/>
          <w:lang w:val="en-US"/>
        </w:rPr>
        <w:t>The One and the Many</w:t>
      </w:r>
      <w:r w:rsidRPr="00BF3E04">
        <w:rPr>
          <w:lang w:val="en-US"/>
        </w:rPr>
        <w:t>, edited by Crowder and Henry Hardy, though fittingly there is much besides in it.</w:t>
      </w:r>
      <w:r w:rsidRPr="00BF3E04">
        <w:rPr>
          <w:vertAlign w:val="superscript"/>
          <w:lang w:val="en-US"/>
        </w:rPr>
        <w:footnoteReference w:id="36"/>
      </w:r>
      <w:r w:rsidRPr="00BF3E04">
        <w:rPr>
          <w:lang w:val="en-US"/>
        </w:rPr>
        <w:t xml:space="preserve"> </w:t>
      </w:r>
      <w:r w:rsidRPr="00BF3E04">
        <w:t xml:space="preserve">John Gray has reissued his account of </w:t>
      </w:r>
      <w:smartTag w:uri="urn:schemas-microsoft-com:office:smarttags" w:element="State">
        <w:r w:rsidRPr="00BF3E04">
          <w:t>Berlin</w:t>
        </w:r>
      </w:smartTag>
      <w:r w:rsidRPr="00BF3E04">
        <w:t xml:space="preserve"> and pluralism with a new introduction, arguing that events since his first edition of 1995 have made </w:t>
      </w:r>
      <w:smartTag w:uri="urn:schemas-microsoft-com:office:smarttags" w:element="State">
        <w:smartTag w:uri="urn:schemas-microsoft-com:office:smarttags" w:element="place">
          <w:r w:rsidRPr="00BF3E04">
            <w:t>Berlin</w:t>
          </w:r>
        </w:smartTag>
      </w:smartTag>
      <w:r w:rsidRPr="00BF3E04">
        <w:t xml:space="preserve">’s thought more rather </w:t>
      </w:r>
      <w:r w:rsidRPr="00BF3E04">
        <w:lastRenderedPageBreak/>
        <w:t>than less important.</w:t>
      </w:r>
      <w:r w:rsidRPr="00BF3E04">
        <w:rPr>
          <w:vertAlign w:val="superscript"/>
        </w:rPr>
        <w:footnoteReference w:id="37"/>
      </w:r>
      <w:r w:rsidRPr="00BF3E04">
        <w:t xml:space="preserve"> </w:t>
      </w:r>
      <w:r w:rsidRPr="00BF3E04">
        <w:rPr>
          <w:lang w:val="en-US"/>
        </w:rPr>
        <w:t xml:space="preserve">The implications of pluralism for law are examined in </w:t>
      </w:r>
      <w:r w:rsidRPr="00BF3E04">
        <w:rPr>
          <w:i/>
          <w:iCs/>
          <w:lang w:val="en-US"/>
        </w:rPr>
        <w:t xml:space="preserve">Isaiah </w:t>
      </w:r>
      <w:smartTag w:uri="urn:schemas-microsoft-com:office:smarttags" w:element="State">
        <w:smartTag w:uri="urn:schemas-microsoft-com:office:smarttags" w:element="place">
          <w:smartTag w:uri="urn:schemas-microsoft-com:office:smarttags" w:element="country-region">
            <w:r w:rsidRPr="00BF3E04">
              <w:rPr>
                <w:i/>
                <w:iCs/>
                <w:lang w:val="en-US"/>
              </w:rPr>
              <w:t>Berlin</w:t>
            </w:r>
          </w:smartTag>
        </w:smartTag>
      </w:smartTag>
      <w:r w:rsidRPr="00BF3E04">
        <w:rPr>
          <w:i/>
          <w:iCs/>
          <w:lang w:val="en-US"/>
        </w:rPr>
        <w:t>, Value Pluralism, and the Law</w:t>
      </w:r>
      <w:r w:rsidRPr="00BF3E04">
        <w:rPr>
          <w:lang w:val="en-US"/>
        </w:rPr>
        <w:t>.</w:t>
      </w:r>
      <w:r w:rsidRPr="00BF3E04">
        <w:rPr>
          <w:vertAlign w:val="superscript"/>
          <w:lang w:val="en-US"/>
        </w:rPr>
        <w:footnoteReference w:id="38"/>
      </w:r>
      <w:r w:rsidRPr="00BF3E04">
        <w:rPr>
          <w:lang w:val="en-US"/>
        </w:rPr>
        <w:t xml:space="preserve"> For two further views of pluralism’s implications see Ella Myers, ‘From Pluralism to Liberalism: Rereading Isaiah </w:t>
      </w:r>
      <w:smartTag w:uri="urn:schemas-microsoft-com:office:smarttags" w:element="State">
        <w:smartTag w:uri="urn:schemas-microsoft-com:office:smarttags" w:element="country-region">
          <w:r w:rsidRPr="00BF3E04">
            <w:rPr>
              <w:lang w:val="en-US"/>
            </w:rPr>
            <w:t>Berlin</w:t>
          </w:r>
        </w:smartTag>
      </w:smartTag>
      <w:r w:rsidRPr="00BF3E04">
        <w:rPr>
          <w:lang w:val="en-US"/>
        </w:rPr>
        <w:t>’,</w:t>
      </w:r>
      <w:r w:rsidRPr="00BF3E04">
        <w:rPr>
          <w:vertAlign w:val="superscript"/>
          <w:lang w:val="en-US"/>
        </w:rPr>
        <w:footnoteReference w:id="39"/>
      </w:r>
      <w:r w:rsidRPr="00BF3E04">
        <w:rPr>
          <w:lang w:val="en-US"/>
        </w:rPr>
        <w:t xml:space="preserve"> and Michael Jinkins, </w:t>
      </w:r>
      <w:r w:rsidRPr="00BF3E04">
        <w:rPr>
          <w:i/>
          <w:iCs/>
          <w:lang w:val="en-US"/>
        </w:rPr>
        <w:t xml:space="preserve">Christianity, Tolerance and Pluralism: A Theological Engagement with Isaiah </w:t>
      </w:r>
      <w:smartTag w:uri="urn:schemas-microsoft-com:office:smarttags" w:element="State">
        <w:smartTag w:uri="urn:schemas-microsoft-com:office:smarttags" w:element="place">
          <w:smartTag w:uri="urn:schemas-microsoft-com:office:smarttags" w:element="country-region">
            <w:r w:rsidRPr="00BF3E04">
              <w:rPr>
                <w:i/>
                <w:iCs/>
                <w:lang w:val="en-US"/>
              </w:rPr>
              <w:t>Berlin</w:t>
            </w:r>
          </w:smartTag>
        </w:smartTag>
      </w:smartTag>
      <w:r w:rsidRPr="00BF3E04">
        <w:rPr>
          <w:i/>
          <w:iCs/>
          <w:lang w:val="en-US"/>
        </w:rPr>
        <w:t>’s Social Theory</w:t>
      </w:r>
      <w:r w:rsidRPr="00BF3E04">
        <w:rPr>
          <w:lang w:val="en-US"/>
        </w:rPr>
        <w:t>.</w:t>
      </w:r>
      <w:r w:rsidRPr="00BF3E04">
        <w:rPr>
          <w:vertAlign w:val="superscript"/>
          <w:lang w:val="en-US"/>
        </w:rPr>
        <w:footnoteReference w:id="40"/>
      </w:r>
      <w:r w:rsidRPr="00BF3E04">
        <w:rPr>
          <w:lang w:val="en-US"/>
        </w:rPr>
        <w:t xml:space="preserve"> Pluralism itself multiplies in George Crowder’s ‘Two Concepts of Liberal Pluralism’.</w:t>
      </w:r>
      <w:r w:rsidRPr="00BF3E04">
        <w:rPr>
          <w:vertAlign w:val="superscript"/>
          <w:lang w:val="en-US"/>
        </w:rPr>
        <w:footnoteReference w:id="41"/>
      </w:r>
      <w:r w:rsidRPr="00BF3E04">
        <w:rPr>
          <w:lang w:val="en-US"/>
        </w:rPr>
        <w:t xml:space="preserve"> On the other hand, Ronald Dworkin, </w:t>
      </w:r>
      <w:r w:rsidRPr="00BF3E04">
        <w:rPr>
          <w:i/>
          <w:lang w:val="en-US"/>
        </w:rPr>
        <w:t>Justice for Hedghogs</w:t>
      </w:r>
      <w:r w:rsidRPr="00BF3E04">
        <w:rPr>
          <w:lang w:val="en-US"/>
        </w:rPr>
        <w:t>, treats value as one big thing.</w:t>
      </w:r>
      <w:r w:rsidRPr="00BF3E04">
        <w:rPr>
          <w:vertAlign w:val="superscript"/>
          <w:lang w:val="en-US"/>
        </w:rPr>
        <w:footnoteReference w:id="42"/>
      </w:r>
      <w:r w:rsidRPr="00BF3E04">
        <w:rPr>
          <w:lang w:val="en-US"/>
        </w:rPr>
        <w:t xml:space="preserve"> Jonathan Riley emphasises that </w:t>
      </w:r>
      <w:smartTag w:uri="urn:schemas-microsoft-com:office:smarttags" w:element="State">
        <w:smartTag w:uri="urn:schemas-microsoft-com:office:smarttags" w:element="place">
          <w:smartTag w:uri="urn:schemas-microsoft-com:office:smarttags" w:element="country-region">
            <w:r w:rsidRPr="00BF3E04">
              <w:rPr>
                <w:lang w:val="en-US"/>
              </w:rPr>
              <w:t>Berlin</w:t>
            </w:r>
          </w:smartTag>
        </w:smartTag>
      </w:smartTag>
      <w:r w:rsidRPr="00BF3E04">
        <w:rPr>
          <w:lang w:val="en-US"/>
        </w:rPr>
        <w:t>’s thought implies a minimum of common moral ground.</w:t>
      </w:r>
      <w:r w:rsidRPr="00BF3E04">
        <w:rPr>
          <w:vertAlign w:val="superscript"/>
          <w:lang w:val="en-US"/>
        </w:rPr>
        <w:footnoteReference w:id="43"/>
      </w:r>
      <w:r w:rsidRPr="00BF3E04">
        <w:rPr>
          <w:lang w:val="en-US"/>
        </w:rPr>
        <w:t xml:space="preserve"> A critical treatment of pluralist conceptions of political thought comes from Charles Blattberg, who argues that practical reason can be understood in a way that implies that reconciliation without compromise is sometimes possible,</w:t>
      </w:r>
      <w:r w:rsidRPr="00BF3E04">
        <w:rPr>
          <w:vertAlign w:val="superscript"/>
          <w:lang w:val="en-US"/>
        </w:rPr>
        <w:footnoteReference w:id="44"/>
      </w:r>
      <w:r w:rsidRPr="00BF3E04">
        <w:rPr>
          <w:lang w:val="en-US"/>
        </w:rPr>
        <w:t xml:space="preserve"> and has written about ‘Taking Politics Seriously – But Not Too Seriously’.</w:t>
      </w:r>
      <w:r w:rsidRPr="00BF3E04">
        <w:rPr>
          <w:vertAlign w:val="superscript"/>
          <w:lang w:val="en-US"/>
        </w:rPr>
        <w:footnoteReference w:id="45"/>
      </w:r>
    </w:p>
    <w:p w:rsidR="003F60EF" w:rsidRPr="00BF3E04" w:rsidRDefault="003F60EF" w:rsidP="005A546D">
      <w:pPr>
        <w:tabs>
          <w:tab w:val="left" w:pos="284"/>
        </w:tabs>
        <w:spacing w:line="360" w:lineRule="auto"/>
        <w:ind w:firstLine="284"/>
      </w:pPr>
      <w:smartTag w:uri="urn:schemas-microsoft-com:office:smarttags" w:element="State">
        <w:smartTag w:uri="urn:schemas-microsoft-com:office:smarttags" w:element="place">
          <w:smartTag w:uri="urn:schemas-microsoft-com:office:smarttags" w:element="country-region">
            <w:r w:rsidRPr="00BF3E04">
              <w:rPr>
                <w:lang w:val="en-US"/>
              </w:rPr>
              <w:t>Berlin</w:t>
            </w:r>
          </w:smartTag>
        </w:smartTag>
      </w:smartTag>
      <w:r w:rsidRPr="00BF3E04">
        <w:rPr>
          <w:lang w:val="en-US"/>
        </w:rPr>
        <w:t xml:space="preserve">’s treatment of </w:t>
      </w:r>
      <w:r w:rsidRPr="00BF3E04">
        <w:t xml:space="preserve">nationalism attracts a growing amount of attention. Joan Cocks develops her views in </w:t>
      </w:r>
      <w:r w:rsidRPr="00BF3E04">
        <w:rPr>
          <w:i/>
        </w:rPr>
        <w:t>Passion and Paradox: Intellectuals Confront the National Question</w:t>
      </w:r>
      <w:r w:rsidRPr="00BF3E04">
        <w:t>.</w:t>
      </w:r>
      <w:r w:rsidRPr="00BF3E04">
        <w:rPr>
          <w:vertAlign w:val="superscript"/>
        </w:rPr>
        <w:footnoteReference w:id="46"/>
      </w:r>
      <w:r w:rsidRPr="00BF3E04">
        <w:t xml:space="preserve"> A different account is given by David Miller, ‘Crooked Timber or Bent Twig? Isaiah </w:t>
      </w:r>
      <w:smartTag w:uri="urn:schemas-microsoft-com:office:smarttags" w:element="place">
        <w:smartTag w:uri="urn:schemas-microsoft-com:office:smarttags" w:element="State">
          <w:smartTag w:uri="urn:schemas-microsoft-com:office:smarttags" w:element="country-region">
            <w:r w:rsidRPr="00BF3E04">
              <w:t>Berlin</w:t>
            </w:r>
          </w:smartTag>
        </w:smartTag>
      </w:smartTag>
      <w:r w:rsidRPr="00BF3E04">
        <w:t>’s Nationalism’.</w:t>
      </w:r>
      <w:r w:rsidRPr="00BF3E04">
        <w:rPr>
          <w:vertAlign w:val="superscript"/>
        </w:rPr>
        <w:footnoteReference w:id="47"/>
      </w:r>
      <w:r w:rsidRPr="00BF3E04">
        <w:t xml:space="preserve"> Edward Said reflects briefly in ‘Isaiah </w:t>
      </w:r>
      <w:smartTag w:uri="urn:schemas-microsoft-com:office:smarttags" w:element="State">
        <w:smartTag w:uri="urn:schemas-microsoft-com:office:smarttags" w:element="country-region">
          <w:r w:rsidRPr="00BF3E04">
            <w:t>Berlin</w:t>
          </w:r>
        </w:smartTag>
      </w:smartTag>
      <w:r w:rsidRPr="00BF3E04">
        <w:t>: An Afterthought’,</w:t>
      </w:r>
      <w:r w:rsidRPr="00BF3E04">
        <w:rPr>
          <w:vertAlign w:val="superscript"/>
        </w:rPr>
        <w:footnoteReference w:id="48"/>
      </w:r>
      <w:r w:rsidRPr="00BF3E04">
        <w:t xml:space="preserve"> and Pierre Birnbaum writes more fully in ‘Isaiah </w:t>
      </w:r>
      <w:smartTag w:uri="urn:schemas-microsoft-com:office:smarttags" w:element="State">
        <w:smartTag w:uri="urn:schemas-microsoft-com:office:smarttags" w:element="place">
          <w:smartTag w:uri="urn:schemas-microsoft-com:office:smarttags" w:element="country-region">
            <w:r w:rsidRPr="00BF3E04">
              <w:t>Berlin</w:t>
            </w:r>
          </w:smartTag>
        </w:smartTag>
      </w:smartTag>
      <w:r w:rsidRPr="00BF3E04">
        <w:t xml:space="preserve">: The Awaking of a Wounded </w:t>
      </w:r>
      <w:r w:rsidRPr="00BF3E04">
        <w:lastRenderedPageBreak/>
        <w:t>Nationalism’.</w:t>
      </w:r>
      <w:r w:rsidRPr="00BF3E04">
        <w:rPr>
          <w:vertAlign w:val="superscript"/>
        </w:rPr>
        <w:footnoteReference w:id="49"/>
      </w:r>
      <w:r w:rsidRPr="00BF3E04">
        <w:t xml:space="preserve"> Compare the accounts in Shlomo Avineri, ‘A Jew and a Gentleman’,</w:t>
      </w:r>
      <w:r w:rsidRPr="00BF3E04">
        <w:rPr>
          <w:vertAlign w:val="superscript"/>
        </w:rPr>
        <w:footnoteReference w:id="50"/>
      </w:r>
      <w:r w:rsidRPr="00BF3E04">
        <w:t xml:space="preserve"> and Avishai Margalit, ‘Home and Homeland: Isaiah </w:t>
      </w:r>
      <w:smartTag w:uri="urn:schemas-microsoft-com:office:smarttags" w:element="State">
        <w:smartTag w:uri="urn:schemas-microsoft-com:office:smarttags" w:element="place">
          <w:smartTag w:uri="urn:schemas-microsoft-com:office:smarttags" w:element="country-region">
            <w:r w:rsidRPr="00BF3E04">
              <w:t>Berlin</w:t>
            </w:r>
          </w:smartTag>
        </w:smartTag>
      </w:smartTag>
      <w:r w:rsidRPr="00BF3E04">
        <w:t>’s Zionism’.</w:t>
      </w:r>
      <w:r w:rsidRPr="00BF3E04">
        <w:rPr>
          <w:vertAlign w:val="superscript"/>
        </w:rPr>
        <w:footnoteReference w:id="51"/>
      </w:r>
      <w:r w:rsidRPr="00BF3E04">
        <w:t xml:space="preserve"> See too Arie M. Dubnov, ‘A Tale of Trees and Crooked Timbers: Jacob Talmon and Isaiah </w:t>
      </w:r>
      <w:smartTag w:uri="urn:schemas-microsoft-com:office:smarttags" w:element="State">
        <w:smartTag w:uri="urn:schemas-microsoft-com:office:smarttags" w:element="country-region">
          <w:r w:rsidRPr="00BF3E04">
            <w:t>Berlin</w:t>
          </w:r>
        </w:smartTag>
      </w:smartTag>
      <w:r w:rsidRPr="00BF3E04">
        <w:t xml:space="preserve"> on the Question of Jewish Nationalism’,</w:t>
      </w:r>
      <w:r w:rsidRPr="00BF3E04">
        <w:rPr>
          <w:vertAlign w:val="superscript"/>
        </w:rPr>
        <w:footnoteReference w:id="52"/>
      </w:r>
      <w:r w:rsidRPr="00BF3E04">
        <w:t xml:space="preserve"> and also his ‘Anti-Cosmopolitan Liberalism: Isaiah </w:t>
      </w:r>
      <w:smartTag w:uri="urn:schemas-microsoft-com:office:smarttags" w:element="State">
        <w:smartTag w:uri="urn:schemas-microsoft-com:office:smarttags" w:element="place">
          <w:smartTag w:uri="urn:schemas-microsoft-com:office:smarttags" w:element="country-region">
            <w:r w:rsidRPr="00BF3E04">
              <w:t>Berlin</w:t>
            </w:r>
          </w:smartTag>
        </w:smartTag>
      </w:smartTag>
      <w:r w:rsidRPr="00BF3E04">
        <w:t>, Jacob Talmon and the Dilemma of National Identity’.</w:t>
      </w:r>
      <w:r w:rsidRPr="00BF3E04">
        <w:rPr>
          <w:vertAlign w:val="superscript"/>
        </w:rPr>
        <w:footnoteReference w:id="53"/>
      </w:r>
      <w:r w:rsidRPr="00BF3E04">
        <w:t xml:space="preserve"> At the time of writing, Dubnov’s </w:t>
      </w:r>
      <w:r w:rsidRPr="00BF3E04">
        <w:rPr>
          <w:i/>
        </w:rPr>
        <w:t>Isaiah Berlin</w:t>
      </w:r>
      <w:r w:rsidRPr="00BF3E04">
        <w:t xml:space="preserve"> contains his latest word on the subject.</w:t>
      </w:r>
    </w:p>
    <w:p w:rsidR="003F60EF" w:rsidRPr="00BF3E04" w:rsidRDefault="003F60EF" w:rsidP="005A546D">
      <w:pPr>
        <w:tabs>
          <w:tab w:val="left" w:pos="284"/>
        </w:tabs>
        <w:spacing w:line="360" w:lineRule="auto"/>
        <w:ind w:firstLine="284"/>
        <w:rPr>
          <w:lang w:val="en-US"/>
        </w:rPr>
      </w:pPr>
      <w:r w:rsidRPr="00BF3E04">
        <w:t xml:space="preserve">The account of intellectual history that </w:t>
      </w:r>
      <w:smartTag w:uri="urn:schemas-microsoft-com:office:smarttags" w:element="State">
        <w:smartTag w:uri="urn:schemas-microsoft-com:office:smarttags" w:element="place">
          <w:smartTag w:uri="urn:schemas-microsoft-com:office:smarttags" w:element="country-region">
            <w:r w:rsidRPr="00BF3E04">
              <w:t>Berlin</w:t>
            </w:r>
          </w:smartTag>
        </w:smartTag>
      </w:smartTag>
      <w:r w:rsidRPr="00BF3E04">
        <w:t xml:space="preserve"> worked out as a complement to the essays printed in this volume has attracted much attention. Historians have long commented on the presence of ‘the one and the many’ in Greek philosophy, and identified ‘The Pluralists’.</w:t>
      </w:r>
      <w:r w:rsidRPr="00BF3E04">
        <w:rPr>
          <w:vertAlign w:val="superscript"/>
        </w:rPr>
        <w:footnoteReference w:id="54"/>
      </w:r>
      <w:r w:rsidRPr="00BF3E04">
        <w:t xml:space="preserve"> Lauren J. Apfel now enlarges on passing remarks of </w:t>
      </w:r>
      <w:smartTag w:uri="urn:schemas-microsoft-com:office:smarttags" w:element="place">
        <w:smartTag w:uri="urn:schemas-microsoft-com:office:smarttags" w:element="State">
          <w:r w:rsidRPr="00BF3E04">
            <w:t>Berlin</w:t>
          </w:r>
        </w:smartTag>
      </w:smartTag>
      <w:r w:rsidRPr="00BF3E04">
        <w:t>’s, and argues for a value pluralism in the Sophists, the tragedians and Herodotus.</w:t>
      </w:r>
      <w:r w:rsidRPr="00BF3E04">
        <w:rPr>
          <w:vertAlign w:val="superscript"/>
        </w:rPr>
        <w:footnoteReference w:id="55"/>
      </w:r>
      <w:r w:rsidRPr="00BF3E04">
        <w:t xml:space="preserve"> </w:t>
      </w:r>
      <w:smartTag w:uri="urn:schemas-microsoft-com:office:smarttags" w:element="place">
        <w:smartTag w:uri="urn:schemas-microsoft-com:office:smarttags" w:element="State">
          <w:r w:rsidRPr="00BF3E04">
            <w:t>Berlin</w:t>
          </w:r>
        </w:smartTag>
      </w:smartTag>
      <w:r w:rsidRPr="00BF3E04">
        <w:t xml:space="preserve">’s treatment of things Russian is praised highly by Orlando Figes, </w:t>
      </w:r>
      <w:r w:rsidRPr="00BF3E04">
        <w:rPr>
          <w:i/>
        </w:rPr>
        <w:t>Natasha’s Dance</w:t>
      </w:r>
      <w:r w:rsidRPr="00BF3E04">
        <w:t>,</w:t>
      </w:r>
      <w:r w:rsidRPr="00BF3E04">
        <w:rPr>
          <w:vertAlign w:val="superscript"/>
        </w:rPr>
        <w:footnoteReference w:id="56"/>
      </w:r>
      <w:r w:rsidRPr="00BF3E04">
        <w:t xml:space="preserve"> and less highly by Dere</w:t>
      </w:r>
      <w:r w:rsidR="00641E35" w:rsidRPr="00BF3E04">
        <w:t>k Offord in</w:t>
      </w:r>
      <w:r w:rsidRPr="00BF3E04">
        <w:t xml:space="preserve"> </w:t>
      </w:r>
      <w:r w:rsidRPr="00BF3E04">
        <w:rPr>
          <w:i/>
          <w:iCs/>
        </w:rPr>
        <w:t>Journeys to a Graveyard: Perceptions of Europe in Classical Russian Travel Writing</w:t>
      </w:r>
      <w:r w:rsidRPr="00BF3E04">
        <w:rPr>
          <w:iCs/>
        </w:rPr>
        <w:t>,</w:t>
      </w:r>
      <w:r w:rsidRPr="00BF3E04">
        <w:rPr>
          <w:iCs/>
          <w:vertAlign w:val="superscript"/>
        </w:rPr>
        <w:footnoteReference w:id="57"/>
      </w:r>
      <w:r w:rsidR="00641E35" w:rsidRPr="00BF3E04">
        <w:t xml:space="preserve"> and again in</w:t>
      </w:r>
      <w:r w:rsidRPr="00BF3E04">
        <w:t xml:space="preserve"> ‘Alexander Herzen and James de Rothschild’.</w:t>
      </w:r>
      <w:r w:rsidRPr="00BF3E04">
        <w:rPr>
          <w:vertAlign w:val="superscript"/>
        </w:rPr>
        <w:footnoteReference w:id="58"/>
      </w:r>
      <w:r w:rsidRPr="00BF3E04">
        <w:t xml:space="preserve"> A fuller account of </w:t>
      </w:r>
      <w:smartTag w:uri="urn:schemas-microsoft-com:office:smarttags" w:element="State">
        <w:smartTag w:uri="urn:schemas-microsoft-com:office:smarttags" w:element="place">
          <w:r w:rsidRPr="00BF3E04">
            <w:t>Berlin</w:t>
          </w:r>
        </w:smartTag>
      </w:smartTag>
      <w:r w:rsidRPr="00BF3E04">
        <w:t>’s intellectual historiography will be found in Joseph Mali and Robert Wokler (eds</w:t>
      </w:r>
      <w:r w:rsidR="00641E35" w:rsidRPr="00BF3E04">
        <w:t>.</w:t>
      </w:r>
      <w:r w:rsidRPr="00BF3E04">
        <w:t xml:space="preserve">), </w:t>
      </w:r>
      <w:r w:rsidRPr="00BF3E04">
        <w:rPr>
          <w:i/>
        </w:rPr>
        <w:t>Isaiah Berlin’s Counter-Enlightenment</w:t>
      </w:r>
      <w:r w:rsidRPr="00BF3E04">
        <w:t>.</w:t>
      </w:r>
      <w:r w:rsidRPr="00BF3E04">
        <w:rPr>
          <w:vertAlign w:val="superscript"/>
        </w:rPr>
        <w:footnoteReference w:id="59"/>
      </w:r>
      <w:r w:rsidRPr="00BF3E04">
        <w:t xml:space="preserve"> Daman Linker examines ‘The Reluctant Pluralism of J. G. Herder’,</w:t>
      </w:r>
      <w:r w:rsidRPr="00BF3E04">
        <w:rPr>
          <w:vertAlign w:val="superscript"/>
        </w:rPr>
        <w:footnoteReference w:id="60"/>
      </w:r>
      <w:r w:rsidRPr="00BF3E04">
        <w:t xml:space="preserve"> and Alan Patten considers ‘“The Most Natural </w:t>
      </w:r>
      <w:r w:rsidRPr="00BF3E04">
        <w:lastRenderedPageBreak/>
        <w:t>State”: Herder and Nationalism’,</w:t>
      </w:r>
      <w:r w:rsidRPr="00BF3E04">
        <w:rPr>
          <w:vertAlign w:val="superscript"/>
        </w:rPr>
        <w:footnoteReference w:id="61"/>
      </w:r>
      <w:r w:rsidRPr="00BF3E04">
        <w:t xml:space="preserve"> while Vicki Spencer writes ‘In Defense of Herder on Cultural Diversity and Interaction’.</w:t>
      </w:r>
      <w:r w:rsidRPr="00BF3E04">
        <w:rPr>
          <w:vertAlign w:val="superscript"/>
        </w:rPr>
        <w:footnoteReference w:id="62"/>
      </w:r>
      <w:r w:rsidRPr="00BF3E04">
        <w:t xml:space="preserve"> A brief critical commentary on </w:t>
      </w:r>
      <w:smartTag w:uri="urn:schemas-microsoft-com:office:smarttags" w:element="State">
        <w:smartTag w:uri="urn:schemas-microsoft-com:office:smarttags" w:element="place">
          <w:smartTag w:uri="urn:schemas-microsoft-com:office:smarttags" w:element="country-region">
            <w:r w:rsidRPr="00BF3E04">
              <w:t>Berlin</w:t>
            </w:r>
          </w:smartTag>
        </w:smartTag>
      </w:smartTag>
      <w:r w:rsidRPr="00BF3E04">
        <w:t xml:space="preserve"> appears in Robert J. Richards, </w:t>
      </w:r>
      <w:r w:rsidRPr="00BF3E04">
        <w:rPr>
          <w:i/>
          <w:iCs/>
        </w:rPr>
        <w:t>The Romantic Conception of Life: Science and Philosophy in the Age of Goethe</w:t>
      </w:r>
      <w:r w:rsidRPr="00BF3E04">
        <w:rPr>
          <w:iCs/>
        </w:rPr>
        <w:t>.</w:t>
      </w:r>
      <w:r w:rsidRPr="00BF3E04">
        <w:rPr>
          <w:iCs/>
          <w:vertAlign w:val="superscript"/>
        </w:rPr>
        <w:footnoteReference w:id="63"/>
      </w:r>
      <w:r w:rsidRPr="00BF3E04">
        <w:rPr>
          <w:iCs/>
        </w:rPr>
        <w:t xml:space="preserve"> A full and vigorous criticism is Robert E. </w:t>
      </w:r>
      <w:r w:rsidRPr="00BF3E04">
        <w:t>Norton, ‘The Myth of the Counter-Enlightenment’,</w:t>
      </w:r>
      <w:r w:rsidRPr="00BF3E04">
        <w:rPr>
          <w:vertAlign w:val="superscript"/>
        </w:rPr>
        <w:footnoteReference w:id="64"/>
      </w:r>
      <w:r w:rsidRPr="00BF3E04">
        <w:t xml:space="preserve"> to which Steven Lestition attempts a response in ‘Countering, Transposing, or Negating the Enlightenment?’</w:t>
      </w:r>
      <w:r w:rsidRPr="00BF3E04">
        <w:rPr>
          <w:vertAlign w:val="superscript"/>
        </w:rPr>
        <w:footnoteReference w:id="65"/>
      </w:r>
      <w:r w:rsidRPr="00BF3E04">
        <w:t xml:space="preserve">, to which in its turn Norton replies </w:t>
      </w:r>
      <w:r w:rsidR="00F15B5E" w:rsidRPr="00BF3E04">
        <w:t xml:space="preserve">firmly </w:t>
      </w:r>
      <w:r w:rsidRPr="00BF3E04">
        <w:t>in ‘Isaiah Berlin’s “Expressionism”, or: “Ha! Du bist das Blökende!”’.</w:t>
      </w:r>
      <w:r w:rsidRPr="00BF3E04">
        <w:rPr>
          <w:vertAlign w:val="superscript"/>
        </w:rPr>
        <w:footnoteReference w:id="66"/>
      </w:r>
      <w:r w:rsidRPr="00BF3E04">
        <w:t xml:space="preserve"> An unrestrained attack on </w:t>
      </w:r>
      <w:smartTag w:uri="urn:schemas-microsoft-com:office:smarttags" w:element="State">
        <w:smartTag w:uri="urn:schemas-microsoft-com:office:smarttags" w:element="place">
          <w:r w:rsidRPr="00BF3E04">
            <w:t>Berlin</w:t>
          </w:r>
        </w:smartTag>
      </w:smartTag>
      <w:r w:rsidRPr="00BF3E04">
        <w:t xml:space="preserve"> is mounted by</w:t>
      </w:r>
      <w:r w:rsidRPr="00BF3E04">
        <w:rPr>
          <w:lang w:val="en-US"/>
        </w:rPr>
        <w:t xml:space="preserve"> Zeev Sternhell in </w:t>
      </w:r>
      <w:r w:rsidRPr="00BF3E04">
        <w:rPr>
          <w:i/>
          <w:iCs/>
          <w:lang w:val="en-US"/>
        </w:rPr>
        <w:t>The Anti-Enlightenment Tradition</w:t>
      </w:r>
      <w:r w:rsidRPr="00BF3E04">
        <w:rPr>
          <w:iCs/>
          <w:lang w:val="en-US"/>
        </w:rPr>
        <w:t>.</w:t>
      </w:r>
      <w:r w:rsidRPr="00BF3E04">
        <w:rPr>
          <w:vertAlign w:val="superscript"/>
          <w:lang w:val="en-US"/>
        </w:rPr>
        <w:footnoteReference w:id="67"/>
      </w:r>
    </w:p>
    <w:p w:rsidR="003F60EF" w:rsidRPr="00BF3E04" w:rsidRDefault="003F60EF" w:rsidP="005A546D">
      <w:pPr>
        <w:tabs>
          <w:tab w:val="left" w:pos="284"/>
        </w:tabs>
        <w:spacing w:line="360" w:lineRule="auto"/>
        <w:ind w:firstLine="284"/>
        <w:rPr>
          <w:lang w:val="en-US"/>
        </w:rPr>
      </w:pPr>
      <w:r w:rsidRPr="00BF3E04">
        <w:rPr>
          <w:lang w:val="en-US"/>
        </w:rPr>
        <w:t xml:space="preserve">There has been interest in the practical implications of </w:t>
      </w:r>
      <w:smartTag w:uri="urn:schemas-microsoft-com:office:smarttags" w:element="State">
        <w:r w:rsidRPr="00BF3E04">
          <w:rPr>
            <w:lang w:val="en-US"/>
          </w:rPr>
          <w:t>Berlin</w:t>
        </w:r>
      </w:smartTag>
      <w:r w:rsidRPr="00BF3E04">
        <w:rPr>
          <w:lang w:val="en-US"/>
        </w:rPr>
        <w:t>’s ideas, in one sense by Jason Ferrell in ‘</w:t>
      </w:r>
      <w:smartTag w:uri="urn:schemas-microsoft-com:office:smarttags" w:element="State">
        <w:smartTag w:uri="urn:schemas-microsoft-com:office:smarttags" w:element="place">
          <w:r w:rsidRPr="00BF3E04">
            <w:rPr>
              <w:lang w:val="en-US"/>
            </w:rPr>
            <w:t>Berlin</w:t>
          </w:r>
        </w:smartTag>
      </w:smartTag>
      <w:r w:rsidRPr="00BF3E04">
        <w:rPr>
          <w:lang w:val="en-US"/>
        </w:rPr>
        <w:t>: Liberalism and Pluralism in Theory and Practice’.</w:t>
      </w:r>
      <w:r w:rsidRPr="00BF3E04">
        <w:rPr>
          <w:vertAlign w:val="superscript"/>
          <w:lang w:val="en-US"/>
        </w:rPr>
        <w:footnoteReference w:id="68"/>
      </w:r>
      <w:r w:rsidRPr="00BF3E04">
        <w:rPr>
          <w:lang w:val="en-US"/>
        </w:rPr>
        <w:t xml:space="preserve"> In other senses, it receives attention from Michael Spicer, ‘Masks of Freedom’, in respect of administration,</w:t>
      </w:r>
      <w:r w:rsidRPr="00BF3E04">
        <w:rPr>
          <w:vertAlign w:val="superscript"/>
          <w:lang w:val="en-US"/>
        </w:rPr>
        <w:footnoteReference w:id="69"/>
      </w:r>
      <w:r w:rsidRPr="00BF3E04">
        <w:rPr>
          <w:lang w:val="en-US"/>
        </w:rPr>
        <w:t xml:space="preserve"> from Jonathan Allen as ‘A Liberal-Pluralist Case for Truth Commisions’,</w:t>
      </w:r>
      <w:r w:rsidRPr="00BF3E04">
        <w:rPr>
          <w:vertAlign w:val="superscript"/>
          <w:lang w:val="en-US"/>
        </w:rPr>
        <w:footnoteReference w:id="70"/>
      </w:r>
      <w:r w:rsidRPr="00BF3E04">
        <w:rPr>
          <w:lang w:val="en-US"/>
        </w:rPr>
        <w:t xml:space="preserve"> and from Neil Burtonwood with reference to the education of children from cultural minorities under liberal democracies.</w:t>
      </w:r>
      <w:r w:rsidRPr="00BF3E04">
        <w:rPr>
          <w:vertAlign w:val="superscript"/>
          <w:lang w:val="en-US"/>
        </w:rPr>
        <w:footnoteReference w:id="71"/>
      </w:r>
      <w:r w:rsidRPr="00BF3E04">
        <w:rPr>
          <w:lang w:val="en-US"/>
        </w:rPr>
        <w:t xml:space="preserve"> An assertion of Berlin’s general importance appears in Nick Fraser, ‘Isaiah Berlin: The Free Thinker’,</w:t>
      </w:r>
      <w:r w:rsidRPr="00BF3E04">
        <w:rPr>
          <w:vertAlign w:val="superscript"/>
          <w:lang w:val="en-US"/>
        </w:rPr>
        <w:footnoteReference w:id="72"/>
      </w:r>
      <w:r w:rsidRPr="00BF3E04">
        <w:rPr>
          <w:lang w:val="en-US"/>
        </w:rPr>
        <w:t xml:space="preserve"> which should be contrasted with Hywel Williams, ‘An English Liberal Stooge’, which sees him as a cultural representative of a CIA world</w:t>
      </w:r>
      <w:r w:rsidR="00C5359A">
        <w:rPr>
          <w:lang w:val="en-US"/>
        </w:rPr>
        <w:t>-</w:t>
      </w:r>
      <w:r w:rsidRPr="00BF3E04">
        <w:rPr>
          <w:lang w:val="en-US"/>
        </w:rPr>
        <w:t>view and an early example of US celebrity values.</w:t>
      </w:r>
      <w:r w:rsidRPr="00BF3E04">
        <w:rPr>
          <w:vertAlign w:val="superscript"/>
          <w:lang w:val="en-US"/>
        </w:rPr>
        <w:footnoteReference w:id="73"/>
      </w:r>
    </w:p>
    <w:p w:rsidR="003F60EF" w:rsidRPr="00BF3E04" w:rsidRDefault="003F60EF" w:rsidP="005A546D">
      <w:pPr>
        <w:tabs>
          <w:tab w:val="left" w:pos="284"/>
        </w:tabs>
        <w:spacing w:line="360" w:lineRule="auto"/>
        <w:ind w:firstLine="284"/>
      </w:pPr>
      <w:r w:rsidRPr="00BF3E04">
        <w:lastRenderedPageBreak/>
        <w:t xml:space="preserve">Extended and general accounts of </w:t>
      </w:r>
      <w:smartTag w:uri="urn:schemas-microsoft-com:office:smarttags" w:element="State">
        <w:smartTag w:uri="urn:schemas-microsoft-com:office:smarttags" w:element="place">
          <w:r w:rsidRPr="00BF3E04">
            <w:t>Berlin</w:t>
          </w:r>
        </w:smartTag>
      </w:smartTag>
      <w:r w:rsidRPr="00BF3E04">
        <w:t>’s thought have multiplied. He has been considered on a broad canvas by Strachan Donnelley, ‘Nature, Freedom and Responsibility: Ernst Mayr and Isaiah Berlin’,</w:t>
      </w:r>
      <w:r w:rsidRPr="00BF3E04">
        <w:rPr>
          <w:vertAlign w:val="superscript"/>
        </w:rPr>
        <w:footnoteReference w:id="74"/>
      </w:r>
      <w:r w:rsidRPr="00BF3E04">
        <w:t xml:space="preserve"> and treated as himself the painter of a broad canvas by Norman Coles, </w:t>
      </w:r>
      <w:r w:rsidRPr="00BF3E04">
        <w:rPr>
          <w:i/>
          <w:iCs/>
        </w:rPr>
        <w:t>Human Nature and Human Values: Interpreting Isaiah Berlin</w:t>
      </w:r>
      <w:r w:rsidRPr="00BF3E04">
        <w:rPr>
          <w:iCs/>
        </w:rPr>
        <w:t>,</w:t>
      </w:r>
      <w:r w:rsidRPr="00BF3E04">
        <w:rPr>
          <w:iCs/>
          <w:vertAlign w:val="superscript"/>
        </w:rPr>
        <w:footnoteReference w:id="75"/>
      </w:r>
      <w:r w:rsidRPr="00BF3E04">
        <w:t xml:space="preserve"> and by Connie Aarsbergen-Ligtvoet, </w:t>
      </w:r>
      <w:r w:rsidRPr="00BF3E04">
        <w:rPr>
          <w:i/>
          <w:iCs/>
        </w:rPr>
        <w:t>Isaiah Berlin: A Value Pluralist and Humanist View of Human Nature and the Meaning of Life</w:t>
      </w:r>
      <w:r w:rsidRPr="00BF3E04">
        <w:t>.</w:t>
      </w:r>
      <w:r w:rsidRPr="00BF3E04">
        <w:rPr>
          <w:vertAlign w:val="superscript"/>
        </w:rPr>
        <w:footnoteReference w:id="76"/>
      </w:r>
      <w:r w:rsidRPr="00BF3E04">
        <w:t xml:space="preserve"> Larry Siedentop asks the pertinent question ‘What Are We to Make of Isaiah </w:t>
      </w:r>
      <w:smartTag w:uri="urn:schemas-microsoft-com:office:smarttags" w:element="State">
        <w:smartTag w:uri="urn:schemas-microsoft-com:office:smarttags" w:element="place">
          <w:r w:rsidRPr="00BF3E04">
            <w:t>Berlin</w:t>
          </w:r>
        </w:smartTag>
      </w:smartTag>
      <w:r w:rsidRPr="00BF3E04">
        <w:t>?’</w:t>
      </w:r>
      <w:r w:rsidRPr="00BF3E04">
        <w:rPr>
          <w:vertAlign w:val="superscript"/>
        </w:rPr>
        <w:footnoteReference w:id="77"/>
      </w:r>
      <w:r w:rsidRPr="00BF3E04">
        <w:t xml:space="preserve"> Joshua Cherniss and Henry Hardy provide their answer in ‘Isaiah </w:t>
      </w:r>
      <w:smartTag w:uri="urn:schemas-microsoft-com:office:smarttags" w:element="place">
        <w:smartTag w:uri="urn:schemas-microsoft-com:office:smarttags" w:element="State">
          <w:r w:rsidRPr="00BF3E04">
            <w:t>Berlin</w:t>
          </w:r>
        </w:smartTag>
      </w:smartTag>
      <w:r w:rsidRPr="00BF3E04">
        <w:t>’.</w:t>
      </w:r>
      <w:r w:rsidRPr="00BF3E04">
        <w:rPr>
          <w:vertAlign w:val="superscript"/>
        </w:rPr>
        <w:footnoteReference w:id="78"/>
      </w:r>
      <w:r w:rsidRPr="00BF3E04">
        <w:t xml:space="preserve"> </w:t>
      </w:r>
      <w:smartTag w:uri="urn:schemas-microsoft-com:office:smarttags" w:element="State">
        <w:r w:rsidRPr="00BF3E04">
          <w:t>Berlin</w:t>
        </w:r>
      </w:smartTag>
      <w:r w:rsidRPr="00BF3E04">
        <w:t xml:space="preserve"> is treated alongside </w:t>
      </w:r>
      <w:r w:rsidR="00EC0CC5" w:rsidRPr="00BF3E04">
        <w:t xml:space="preserve">his </w:t>
      </w:r>
      <w:r w:rsidRPr="00BF3E04">
        <w:t xml:space="preserve">intellectually inventive contemporaries by Peter Skagestad, ‘Collingwood and </w:t>
      </w:r>
      <w:smartTag w:uri="urn:schemas-microsoft-com:office:smarttags" w:element="State">
        <w:r w:rsidRPr="00BF3E04">
          <w:t>Berlin</w:t>
        </w:r>
      </w:smartTag>
      <w:r w:rsidRPr="00BF3E04">
        <w:t>: A Comparison’,</w:t>
      </w:r>
      <w:r w:rsidRPr="00BF3E04">
        <w:rPr>
          <w:vertAlign w:val="superscript"/>
        </w:rPr>
        <w:footnoteReference w:id="79"/>
      </w:r>
      <w:r w:rsidRPr="00BF3E04">
        <w:t xml:space="preserve"> and by Paul Franco, ‘The Shapes of Liberal Thought: </w:t>
      </w:r>
      <w:smartTag w:uri="urn:schemas-microsoft-com:office:smarttags" w:element="place">
        <w:smartTag w:uri="urn:schemas-microsoft-com:office:smarttags" w:element="City">
          <w:r w:rsidRPr="00BF3E04">
            <w:t>Oakeshott</w:t>
          </w:r>
        </w:smartTag>
        <w:r w:rsidRPr="00BF3E04">
          <w:t xml:space="preserve">, </w:t>
        </w:r>
        <w:smartTag w:uri="urn:schemas-microsoft-com:office:smarttags" w:element="State">
          <w:r w:rsidRPr="00BF3E04">
            <w:t>Berlin</w:t>
          </w:r>
        </w:smartTag>
      </w:smartTag>
      <w:r w:rsidRPr="00BF3E04">
        <w:t>, and Liberalism’.</w:t>
      </w:r>
      <w:r w:rsidRPr="00BF3E04">
        <w:rPr>
          <w:vertAlign w:val="superscript"/>
        </w:rPr>
        <w:footnoteReference w:id="80"/>
      </w:r>
      <w:r w:rsidRPr="00BF3E04">
        <w:t xml:space="preserve"> The effects of a long-term friendship with </w:t>
      </w:r>
      <w:smartTag w:uri="urn:schemas-microsoft-com:office:smarttags" w:element="State">
        <w:r w:rsidRPr="00BF3E04">
          <w:t>Berlin</w:t>
        </w:r>
      </w:smartTag>
      <w:r w:rsidRPr="00BF3E04">
        <w:t xml:space="preserve"> on one who began to think seriously a</w:t>
      </w:r>
      <w:r w:rsidR="00EC0CC5" w:rsidRPr="00BF3E04">
        <w:t>bout politics rather late in the day</w:t>
      </w:r>
      <w:r w:rsidRPr="00BF3E04">
        <w:t xml:space="preserve"> are seen in Bernard Williams, </w:t>
      </w:r>
      <w:r w:rsidRPr="00BF3E04">
        <w:rPr>
          <w:i/>
          <w:iCs/>
        </w:rPr>
        <w:t xml:space="preserve">In the Beginning </w:t>
      </w:r>
      <w:r w:rsidR="00C5359A">
        <w:rPr>
          <w:i/>
          <w:iCs/>
        </w:rPr>
        <w:t>W</w:t>
      </w:r>
      <w:r w:rsidRPr="00BF3E04">
        <w:rPr>
          <w:i/>
          <w:iCs/>
        </w:rPr>
        <w:t>as the Deed: Realism and Moralism in Political Argument</w:t>
      </w:r>
      <w:r w:rsidRPr="00BF3E04">
        <w:t xml:space="preserve">, which contains some important remarks on </w:t>
      </w:r>
      <w:smartTag w:uri="urn:schemas-microsoft-com:office:smarttags" w:element="State">
        <w:smartTag w:uri="urn:schemas-microsoft-com:office:smarttags" w:element="place">
          <w:r w:rsidRPr="00BF3E04">
            <w:t>Berlin</w:t>
          </w:r>
        </w:smartTag>
      </w:smartTag>
      <w:r w:rsidRPr="00BF3E04">
        <w:t>’s account of liberty.</w:t>
      </w:r>
      <w:r w:rsidRPr="00BF3E04">
        <w:rPr>
          <w:vertAlign w:val="superscript"/>
        </w:rPr>
        <w:footnoteReference w:id="81"/>
      </w:r>
      <w:r w:rsidRPr="00BF3E04">
        <w:t xml:space="preserve"> Examinations of Berlin’s political thinking in the round are given by Jonathan Riley, ‘Interpreting Berlin’s Liberalism’,</w:t>
      </w:r>
      <w:r w:rsidRPr="00BF3E04">
        <w:rPr>
          <w:vertAlign w:val="superscript"/>
        </w:rPr>
        <w:footnoteReference w:id="82"/>
      </w:r>
      <w:r w:rsidRPr="00BF3E04">
        <w:t xml:space="preserve"> by Duncan Kelly, ‘The Political Thought of Isaiah Berlin’,</w:t>
      </w:r>
      <w:r w:rsidRPr="00BF3E04">
        <w:rPr>
          <w:vertAlign w:val="superscript"/>
        </w:rPr>
        <w:footnoteReference w:id="83"/>
      </w:r>
      <w:r w:rsidRPr="00BF3E04">
        <w:t xml:space="preserve"> and by William A. Galston, ‘Moral Pluralism and Liberal Democracy: Isaiah Berlin’s Heterodox Liberalism’.</w:t>
      </w:r>
      <w:r w:rsidRPr="00BF3E04">
        <w:rPr>
          <w:vertAlign w:val="superscript"/>
        </w:rPr>
        <w:footnoteReference w:id="84"/>
      </w:r>
      <w:r w:rsidRPr="00BF3E04">
        <w:t xml:space="preserve"> </w:t>
      </w:r>
      <w:smartTag w:uri="urn:schemas-microsoft-com:office:smarttags" w:element="State">
        <w:r w:rsidRPr="00BF3E04">
          <w:t>Berlin</w:t>
        </w:r>
      </w:smartTag>
      <w:r w:rsidRPr="00BF3E04">
        <w:t xml:space="preserve">’s general importance for political studies has been considered by Ryan Patrick Hanley in ‘Political Science and Political Understanding: Isaiah </w:t>
      </w:r>
      <w:smartTag w:uri="urn:schemas-microsoft-com:office:smarttags" w:element="State">
        <w:smartTag w:uri="urn:schemas-microsoft-com:office:smarttags" w:element="place">
          <w:r w:rsidRPr="00BF3E04">
            <w:t>Berlin</w:t>
          </w:r>
        </w:smartTag>
      </w:smartTag>
      <w:r w:rsidRPr="00BF3E04">
        <w:t xml:space="preserve"> on the Nature of Political Inquiry’,</w:t>
      </w:r>
      <w:r w:rsidRPr="00BF3E04">
        <w:rPr>
          <w:vertAlign w:val="superscript"/>
        </w:rPr>
        <w:footnoteReference w:id="85"/>
      </w:r>
      <w:r w:rsidRPr="00BF3E04">
        <w:t xml:space="preserve"> while James Cracraft offers ‘A Berlin for Historians’.</w:t>
      </w:r>
      <w:r w:rsidRPr="00BF3E04">
        <w:rPr>
          <w:vertAlign w:val="superscript"/>
        </w:rPr>
        <w:footnoteReference w:id="86"/>
      </w:r>
      <w:r w:rsidRPr="00BF3E04">
        <w:t xml:space="preserve"> </w:t>
      </w:r>
    </w:p>
    <w:p w:rsidR="003F60EF" w:rsidRPr="00BF3E04" w:rsidRDefault="003F60EF" w:rsidP="005A546D">
      <w:pPr>
        <w:tabs>
          <w:tab w:val="left" w:pos="284"/>
        </w:tabs>
        <w:spacing w:line="360" w:lineRule="auto"/>
        <w:ind w:firstLine="284"/>
      </w:pPr>
      <w:r w:rsidRPr="00BF3E04">
        <w:lastRenderedPageBreak/>
        <w:t xml:space="preserve">Biographical and institutional commentary from a variety of hands has been commissioned or collected </w:t>
      </w:r>
      <w:r w:rsidR="00F15B5E" w:rsidRPr="00BF3E04">
        <w:t xml:space="preserve">or both </w:t>
      </w:r>
      <w:r w:rsidRPr="00BF3E04">
        <w:t xml:space="preserve">by Henry Hardy in </w:t>
      </w:r>
      <w:r w:rsidRPr="00BF3E04">
        <w:rPr>
          <w:i/>
        </w:rPr>
        <w:t>The Book of Isaiah</w:t>
      </w:r>
      <w:r w:rsidR="00EC0CC5" w:rsidRPr="00BF3E04">
        <w:t xml:space="preserve">, sometimes to </w:t>
      </w:r>
      <w:r w:rsidR="00F15B5E" w:rsidRPr="00BF3E04">
        <w:t>very enlightening</w:t>
      </w:r>
      <w:r w:rsidR="00EC0CC5" w:rsidRPr="00BF3E04">
        <w:t xml:space="preserve"> effect</w:t>
      </w:r>
      <w:r w:rsidRPr="00BF3E04">
        <w:t>.</w:t>
      </w:r>
      <w:r w:rsidRPr="00BF3E04">
        <w:rPr>
          <w:vertAlign w:val="superscript"/>
        </w:rPr>
        <w:footnoteReference w:id="87"/>
      </w:r>
      <w:r w:rsidRPr="00BF3E04">
        <w:t xml:space="preserve"> Memoirs by </w:t>
      </w:r>
      <w:smartTag w:uri="urn:schemas-microsoft-com:office:smarttags" w:element="State">
        <w:r w:rsidRPr="00BF3E04">
          <w:t>Berlin</w:t>
        </w:r>
      </w:smartTag>
      <w:r w:rsidRPr="00BF3E04">
        <w:t xml:space="preserve">’s friends and contemporaries </w:t>
      </w:r>
      <w:r w:rsidR="00376199" w:rsidRPr="00BF3E04">
        <w:t xml:space="preserve">have </w:t>
      </w:r>
      <w:r w:rsidRPr="00BF3E04">
        <w:t>continue</w:t>
      </w:r>
      <w:r w:rsidR="00376199" w:rsidRPr="00BF3E04">
        <w:t>d</w:t>
      </w:r>
      <w:r w:rsidRPr="00BF3E04">
        <w:t xml:space="preserve"> to provide informative material, e.g. from Mary Warnock,</w:t>
      </w:r>
      <w:r w:rsidRPr="00BF3E04">
        <w:rPr>
          <w:vertAlign w:val="superscript"/>
        </w:rPr>
        <w:footnoteReference w:id="88"/>
      </w:r>
      <w:r w:rsidRPr="00BF3E04">
        <w:t xml:space="preserve"> and </w:t>
      </w:r>
      <w:smartTag w:uri="urn:schemas-microsoft-com:office:smarttags" w:element="place">
        <w:smartTag w:uri="urn:schemas-microsoft-com:office:smarttags" w:element="State">
          <w:r w:rsidRPr="00BF3E04">
            <w:t>Berlin</w:t>
          </w:r>
        </w:smartTag>
      </w:smartTag>
      <w:r w:rsidRPr="00BF3E04">
        <w:t xml:space="preserve"> turns up significantly in Nicola Lacey’s biography of his friend Herbert Hart.</w:t>
      </w:r>
      <w:r w:rsidRPr="00BF3E04">
        <w:rPr>
          <w:vertAlign w:val="superscript"/>
        </w:rPr>
        <w:footnoteReference w:id="89"/>
      </w:r>
      <w:r w:rsidRPr="00BF3E04">
        <w:t xml:space="preserve"> His relations with one of his </w:t>
      </w:r>
      <w:r w:rsidR="00EC0CC5" w:rsidRPr="00BF3E04">
        <w:t xml:space="preserve">intellectual (and personal) </w:t>
      </w:r>
      <w:r w:rsidRPr="00BF3E04">
        <w:t xml:space="preserve">enemies are explored at length by David Caute in </w:t>
      </w:r>
      <w:r w:rsidRPr="00BF3E04">
        <w:rPr>
          <w:i/>
        </w:rPr>
        <w:t>Isaac and Isaiah</w:t>
      </w:r>
      <w:r w:rsidRPr="00BF3E04">
        <w:t>.</w:t>
      </w:r>
      <w:r w:rsidRPr="00BF3E04">
        <w:rPr>
          <w:vertAlign w:val="superscript"/>
        </w:rPr>
        <w:footnoteReference w:id="90"/>
      </w:r>
      <w:r w:rsidRPr="00BF3E04">
        <w:t xml:space="preserve"> Robert Wokler considers ‘The Professoriate of Political Thought in </w:t>
      </w:r>
      <w:smartTag w:uri="urn:schemas-microsoft-com:office:smarttags" w:element="country-region">
        <w:smartTag w:uri="urn:schemas-microsoft-com:office:smarttags" w:element="place">
          <w:r w:rsidRPr="00BF3E04">
            <w:t>England</w:t>
          </w:r>
        </w:smartTag>
      </w:smartTag>
      <w:r w:rsidRPr="00BF3E04">
        <w:t xml:space="preserve"> since 1914: A Tale of Three Chairs’.</w:t>
      </w:r>
      <w:r w:rsidRPr="00BF3E04">
        <w:rPr>
          <w:vertAlign w:val="superscript"/>
        </w:rPr>
        <w:footnoteReference w:id="91"/>
      </w:r>
      <w:r w:rsidRPr="00BF3E04">
        <w:t xml:space="preserve"> </w:t>
      </w:r>
      <w:smartTag w:uri="urn:schemas-microsoft-com:office:smarttags" w:element="State">
        <w:smartTag w:uri="urn:schemas-microsoft-com:office:smarttags" w:element="place">
          <w:r w:rsidRPr="00BF3E04">
            <w:t>Berlin</w:t>
          </w:r>
        </w:smartTag>
      </w:smartTag>
      <w:r w:rsidRPr="00BF3E04">
        <w:t xml:space="preserve"> is a central figure in György Dalos, </w:t>
      </w:r>
      <w:r w:rsidRPr="00BF3E04">
        <w:rPr>
          <w:i/>
          <w:iCs/>
        </w:rPr>
        <w:t>The Guest from the Future: Anna Akhmatova and Isaiah Berlin</w:t>
      </w:r>
      <w:r w:rsidRPr="00BF3E04">
        <w:t>.</w:t>
      </w:r>
      <w:r w:rsidRPr="00BF3E04">
        <w:rPr>
          <w:vertAlign w:val="superscript"/>
        </w:rPr>
        <w:footnoteReference w:id="92"/>
      </w:r>
      <w:r w:rsidRPr="00BF3E04">
        <w:t xml:space="preserve"> One important episode is considered by Anne Deighton, ‘</w:t>
      </w:r>
      <w:smartTag w:uri="urn:schemas-microsoft-com:office:smarttags" w:element="State">
        <w:r w:rsidRPr="00BF3E04">
          <w:t>Berlin</w:t>
        </w:r>
      </w:smartTag>
      <w:r w:rsidRPr="00BF3E04">
        <w:t xml:space="preserve"> in </w:t>
      </w:r>
      <w:smartTag w:uri="urn:schemas-microsoft-com:office:smarttags" w:element="City">
        <w:r w:rsidRPr="00BF3E04">
          <w:t>Moscow</w:t>
        </w:r>
      </w:smartTag>
      <w:r w:rsidRPr="00BF3E04">
        <w:t xml:space="preserve"> – Isaiah </w:t>
      </w:r>
      <w:smartTag w:uri="urn:schemas-microsoft-com:office:smarttags" w:element="State">
        <w:r w:rsidRPr="00BF3E04">
          <w:t>Berlin</w:t>
        </w:r>
      </w:smartTag>
      <w:r w:rsidRPr="00BF3E04">
        <w:t xml:space="preserve">: Academia, Diplomacy and </w:t>
      </w:r>
      <w:smartTag w:uri="urn:schemas-microsoft-com:office:smarttags" w:element="place">
        <w:smartTag w:uri="urn:schemas-microsoft-com:office:smarttags" w:element="country-region">
          <w:r w:rsidRPr="00BF3E04">
            <w:t>Britain</w:t>
          </w:r>
        </w:smartTag>
      </w:smartTag>
      <w:r w:rsidRPr="00BF3E04">
        <w:t>’s Cultural Cold War’.</w:t>
      </w:r>
      <w:r w:rsidRPr="00BF3E04">
        <w:rPr>
          <w:vertAlign w:val="superscript"/>
        </w:rPr>
        <w:footnoteReference w:id="93"/>
      </w:r>
      <w:r w:rsidRPr="00BF3E04">
        <w:t xml:space="preserve"> Some engaging writing is</w:t>
      </w:r>
      <w:r w:rsidR="00EC0CC5" w:rsidRPr="00BF3E04">
        <w:t xml:space="preserve"> to be found</w:t>
      </w:r>
      <w:r w:rsidRPr="00BF3E04">
        <w:t xml:space="preserve"> in Henry Hardy, Kei Hiruta and Jennifer Holmes (eds), </w:t>
      </w:r>
      <w:r w:rsidRPr="00BF3E04">
        <w:rPr>
          <w:i/>
          <w:iCs/>
        </w:rPr>
        <w:t>Isaiah Berlin and Wolfson College</w:t>
      </w:r>
      <w:r w:rsidRPr="00BF3E04">
        <w:t>.</w:t>
      </w:r>
      <w:r w:rsidRPr="00BF3E04">
        <w:rPr>
          <w:vertAlign w:val="superscript"/>
        </w:rPr>
        <w:footnoteReference w:id="94"/>
      </w:r>
      <w:r w:rsidRPr="00BF3E04">
        <w:t xml:space="preserve"> The most elegant and penetrating recent biographical account is Alan Ryan, ‘Isaiah Berlin, 1909–1997’.</w:t>
      </w:r>
      <w:r w:rsidRPr="00BF3E04">
        <w:rPr>
          <w:vertAlign w:val="superscript"/>
        </w:rPr>
        <w:footnoteReference w:id="95"/>
      </w:r>
    </w:p>
    <w:p w:rsidR="0017679C" w:rsidRDefault="003F60EF" w:rsidP="002468B6">
      <w:pPr>
        <w:tabs>
          <w:tab w:val="left" w:pos="284"/>
        </w:tabs>
        <w:spacing w:line="360" w:lineRule="auto"/>
        <w:ind w:firstLine="284"/>
      </w:pPr>
      <w:r w:rsidRPr="00BF3E04">
        <w:t xml:space="preserve">Those in search of a less selective listing of literature about Berlin will still find it – and much else – at &lt;http://berlin.wolf.ox.ac.uk&gt;, the Isaiah Berlin Virtual Library maintained (like much else concerning Berlin) and augmented by the </w:t>
      </w:r>
      <w:r w:rsidR="00EC0CC5" w:rsidRPr="00BF3E04">
        <w:t xml:space="preserve">sustained </w:t>
      </w:r>
      <w:r w:rsidRPr="00BF3E04">
        <w:t xml:space="preserve">hard work </w:t>
      </w:r>
      <w:r w:rsidRPr="00BF3E04">
        <w:lastRenderedPageBreak/>
        <w:t xml:space="preserve">and </w:t>
      </w:r>
      <w:r w:rsidR="00EC0CC5" w:rsidRPr="00BF3E04">
        <w:t xml:space="preserve">enduring </w:t>
      </w:r>
      <w:r w:rsidRPr="00BF3E04">
        <w:t>enthusiasm of Henry Hardy. One of the way</w:t>
      </w:r>
      <w:r w:rsidR="00376199" w:rsidRPr="00BF3E04">
        <w:t>s in which that</w:t>
      </w:r>
      <w:r w:rsidRPr="00BF3E04">
        <w:t xml:space="preserve"> resource adds t</w:t>
      </w:r>
      <w:r w:rsidR="00376199" w:rsidRPr="00BF3E04">
        <w:t>o the present account is by the inclusion of</w:t>
      </w:r>
      <w:r w:rsidRPr="00BF3E04">
        <w:t xml:space="preserve"> material in any language, even those not widely read in the West: this policy accommodates a growing literature on Berlin in China and Japan, where both his liberalism and his pluralism </w:t>
      </w:r>
      <w:r w:rsidR="00EC0CC5" w:rsidRPr="00BF3E04">
        <w:t>have attracted much interest</w:t>
      </w:r>
      <w:r w:rsidRPr="00BF3E04">
        <w:t>, though he himself hardly applied them explicitly to the East.</w:t>
      </w:r>
    </w:p>
    <w:sectPr w:rsidR="0017679C">
      <w:headerReference w:type="even" r:id="rId7"/>
      <w:headerReference w:type="default" r:id="rId8"/>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C1" w:rsidRDefault="00BD16C1">
      <w:r>
        <w:separator/>
      </w:r>
    </w:p>
  </w:endnote>
  <w:endnote w:type="continuationSeparator" w:id="0">
    <w:p w:rsidR="00BD16C1" w:rsidRDefault="00BD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C1" w:rsidRDefault="00BD16C1"/>
  </w:footnote>
  <w:footnote w:type="continuationSeparator" w:id="0">
    <w:p w:rsidR="00BD16C1" w:rsidRDefault="00BD16C1"/>
  </w:footnote>
  <w:footnote w:id="1">
    <w:p w:rsidR="007A0EDE" w:rsidRDefault="007A0EDE" w:rsidP="007A0EDE">
      <w:pPr>
        <w:pStyle w:val="FootnoteText1"/>
      </w:pPr>
      <w:r>
        <w:rPr>
          <w:rStyle w:val="FootnoteReference"/>
        </w:rPr>
        <w:footnoteRef/>
      </w:r>
      <w:r>
        <w:t xml:space="preserve"> Ecclesiastes 12:12.</w:t>
      </w:r>
    </w:p>
  </w:footnote>
  <w:footnote w:id="2">
    <w:p w:rsidR="00B37854" w:rsidRPr="00BF3E04" w:rsidRDefault="00B37854" w:rsidP="00C5359A">
      <w:pPr>
        <w:pStyle w:val="FootnoteText"/>
        <w:ind w:firstLine="284"/>
      </w:pPr>
      <w:r w:rsidRPr="00BF3E04">
        <w:rPr>
          <w:rStyle w:val="FootnoteReference"/>
        </w:rPr>
        <w:footnoteRef/>
      </w:r>
      <w:r w:rsidRPr="00BF3E04">
        <w:t xml:space="preserve"> Cf. Adrian Wooldridge, ‘Old Polymaths Never Die’, </w:t>
      </w:r>
      <w:r w:rsidRPr="00BF3E04">
        <w:rPr>
          <w:i/>
        </w:rPr>
        <w:t>Intelligent Life</w:t>
      </w:r>
      <w:r w:rsidRPr="00BF3E04">
        <w:t xml:space="preserve">, July/August 2012, </w:t>
      </w:r>
      <w:r w:rsidR="00C5359A">
        <w:t xml:space="preserve">pp. </w:t>
      </w:r>
      <w:r w:rsidRPr="00BF3E04">
        <w:t>114–19.</w:t>
      </w:r>
      <w:r w:rsidR="00C5359A" w:rsidRPr="00C5359A">
        <w:rPr>
          <w:rFonts w:ascii="Helvetica" w:hAnsi="Helvetica" w:cs="Helvetica"/>
          <w:color w:val="FF0000"/>
          <w:sz w:val="24"/>
          <w:szCs w:val="24"/>
        </w:rPr>
        <w:t xml:space="preserve"> </w:t>
      </w:r>
      <w:r w:rsidR="00C5359A" w:rsidRPr="00C5359A">
        <w:t>(Subsequent page references are by page number alone.)</w:t>
      </w:r>
    </w:p>
  </w:footnote>
  <w:footnote w:id="3">
    <w:p w:rsidR="00B37854" w:rsidRPr="00BF3E04" w:rsidRDefault="00B37854" w:rsidP="00517AFD">
      <w:pPr>
        <w:pStyle w:val="FootnoteText"/>
        <w:suppressAutoHyphens/>
        <w:ind w:firstLine="284"/>
      </w:pPr>
      <w:r w:rsidRPr="00BF3E04">
        <w:rPr>
          <w:rStyle w:val="FootnoteReference"/>
        </w:rPr>
        <w:footnoteRef/>
      </w:r>
      <w:r w:rsidRPr="00BF3E04">
        <w:t xml:space="preserve"> </w:t>
      </w:r>
      <w:r w:rsidRPr="00BF3E04">
        <w:rPr>
          <w:i/>
        </w:rPr>
        <w:t>Political Ideas in the Romantic Age: Their Rise and Influence on Modern Thought</w:t>
      </w:r>
      <w:r w:rsidRPr="00BF3E04">
        <w:t xml:space="preserve">, ed. Henry Hardy, introduction by Joshua Cherniss (London/Princeton, 2006: Chatto and Windus/Princeton University Press). As Princeton University Press has now reissued a total of eleven of </w:t>
      </w:r>
      <w:smartTag w:uri="urn:schemas-microsoft-com:office:smarttags" w:element="State">
        <w:smartTag w:uri="urn:schemas-microsoft-com:office:smarttags" w:element="place">
          <w:r w:rsidRPr="00BF3E04">
            <w:t>Berlin</w:t>
          </w:r>
        </w:smartTag>
      </w:smartTag>
      <w:r w:rsidRPr="00BF3E04">
        <w:t xml:space="preserve">’s books in </w:t>
      </w:r>
      <w:r w:rsidR="00517AFD" w:rsidRPr="00517AFD">
        <w:t xml:space="preserve">new editions which differ from their predecessors, it is worth identifying their new forms here. Henry Hardy has added previously uncollected or unpublished material, and the publishers have added new forewords by diverse hands. These new editions include </w:t>
      </w:r>
      <w:r w:rsidR="00517AFD">
        <w:t>two books not previously publis</w:t>
      </w:r>
      <w:r w:rsidR="00517AFD" w:rsidRPr="00517AFD">
        <w:t>h</w:t>
      </w:r>
      <w:r w:rsidR="00517AFD">
        <w:t>e</w:t>
      </w:r>
      <w:r w:rsidR="00517AFD" w:rsidRPr="00517AFD">
        <w:t>d by Princeton</w:t>
      </w:r>
      <w:r w:rsidR="00C5359A">
        <w:t>:</w:t>
      </w:r>
      <w:r w:rsidRPr="00BF3E04">
        <w:t xml:space="preserve"> </w:t>
      </w:r>
      <w:r w:rsidRPr="00BF3E04">
        <w:rPr>
          <w:i/>
          <w:iCs/>
        </w:rPr>
        <w:t xml:space="preserve">The Hedgehog and the Fox </w:t>
      </w:r>
      <w:r w:rsidRPr="00BF3E04">
        <w:t>and</w:t>
      </w:r>
      <w:r w:rsidRPr="00BF3E04">
        <w:rPr>
          <w:i/>
          <w:iCs/>
        </w:rPr>
        <w:t xml:space="preserve"> Karl Marx</w:t>
      </w:r>
      <w:r w:rsidRPr="00BF3E04">
        <w:t xml:space="preserve">. The foreword to </w:t>
      </w:r>
      <w:r w:rsidRPr="00BF3E04">
        <w:rPr>
          <w:i/>
          <w:iCs/>
        </w:rPr>
        <w:t>The Hedgehog and the Fox</w:t>
      </w:r>
      <w:r w:rsidRPr="00BF3E04">
        <w:t xml:space="preserve"> is by Michael Ignatieff, whilst </w:t>
      </w:r>
      <w:r w:rsidRPr="00BF3E04">
        <w:rPr>
          <w:i/>
          <w:iCs/>
        </w:rPr>
        <w:t>Karl Marx</w:t>
      </w:r>
      <w:r w:rsidRPr="00BF3E04">
        <w:t xml:space="preserve"> retains its foreword by Alan Ryan but gains an afterword by Terrell Carver.</w:t>
      </w:r>
      <w:r w:rsidR="00C5359A">
        <w:t xml:space="preserve"> </w:t>
      </w:r>
      <w:r w:rsidRPr="00BF3E04">
        <w:t xml:space="preserve">The other books (with the authors of their forewords) are </w:t>
      </w:r>
      <w:r w:rsidRPr="00BF3E04">
        <w:rPr>
          <w:i/>
          <w:iCs/>
        </w:rPr>
        <w:t>Against the Current</w:t>
      </w:r>
      <w:r w:rsidRPr="00BF3E04">
        <w:t xml:space="preserve"> (Mark Lilla), </w:t>
      </w:r>
      <w:r w:rsidRPr="00BF3E04">
        <w:rPr>
          <w:i/>
          <w:iCs/>
        </w:rPr>
        <w:t>Concepts and Categories</w:t>
      </w:r>
      <w:r w:rsidRPr="00BF3E04">
        <w:t xml:space="preserve"> (Alasdair MacIntyre), </w:t>
      </w:r>
      <w:r w:rsidRPr="00BF3E04">
        <w:rPr>
          <w:i/>
          <w:iCs/>
        </w:rPr>
        <w:t>Freedom and Its Betrayal</w:t>
      </w:r>
      <w:r w:rsidRPr="00BF3E04">
        <w:t xml:space="preserve"> (Enrique Krauze), </w:t>
      </w:r>
      <w:r w:rsidRPr="00BF3E04">
        <w:rPr>
          <w:i/>
          <w:iCs/>
        </w:rPr>
        <w:t>The Crooked Timber of Humanity</w:t>
      </w:r>
      <w:r w:rsidRPr="00BF3E04">
        <w:t xml:space="preserve"> </w:t>
      </w:r>
      <w:r w:rsidRPr="00BF3E04">
        <w:rPr>
          <w:spacing w:val="40"/>
        </w:rPr>
        <w:t>(</w:t>
      </w:r>
      <w:r w:rsidRPr="00BF3E04">
        <w:t xml:space="preserve">John Banville), </w:t>
      </w:r>
      <w:r w:rsidRPr="00BF3E04">
        <w:rPr>
          <w:i/>
          <w:iCs/>
        </w:rPr>
        <w:t>Personal Impressions</w:t>
      </w:r>
      <w:r w:rsidRPr="00BF3E04">
        <w:t xml:space="preserve"> (Hermione Lee),</w:t>
      </w:r>
      <w:r w:rsidRPr="00BF3E04">
        <w:rPr>
          <w:i/>
          <w:iCs/>
        </w:rPr>
        <w:t xml:space="preserve"> Political Ideas in the Romantic Age</w:t>
      </w:r>
      <w:r w:rsidRPr="00BF3E04">
        <w:t xml:space="preserve"> (William Galston),</w:t>
      </w:r>
      <w:r w:rsidRPr="00BF3E04">
        <w:rPr>
          <w:i/>
          <w:iCs/>
        </w:rPr>
        <w:t xml:space="preserve"> The Power of Ideas</w:t>
      </w:r>
      <w:r w:rsidRPr="00BF3E04">
        <w:t xml:space="preserve"> (Avishai Margalit), </w:t>
      </w:r>
      <w:r w:rsidRPr="00BF3E04">
        <w:rPr>
          <w:i/>
          <w:iCs/>
        </w:rPr>
        <w:t>The Roots of Romanticism</w:t>
      </w:r>
      <w:r w:rsidRPr="00BF3E04">
        <w:t xml:space="preserve"> </w:t>
      </w:r>
      <w:r w:rsidRPr="00BF3E04">
        <w:rPr>
          <w:rFonts w:cs="Courier New"/>
          <w:spacing w:val="40"/>
          <w:szCs w:val="22"/>
        </w:rPr>
        <w:t>(</w:t>
      </w:r>
      <w:r w:rsidRPr="00BF3E04">
        <w:t xml:space="preserve">John Gray) and </w:t>
      </w:r>
      <w:r w:rsidRPr="00BF3E04">
        <w:rPr>
          <w:i/>
          <w:iCs/>
        </w:rPr>
        <w:t xml:space="preserve">Three Critics of the Enlightenment </w:t>
      </w:r>
      <w:r w:rsidRPr="00BF3E04">
        <w:rPr>
          <w:rFonts w:cs="Courier New"/>
          <w:spacing w:val="40"/>
          <w:szCs w:val="22"/>
        </w:rPr>
        <w:t>(</w:t>
      </w:r>
      <w:r w:rsidRPr="00BF3E04">
        <w:t>Jonathan Israel)</w:t>
      </w:r>
      <w:r w:rsidRPr="00BF3E04">
        <w:rPr>
          <w:i/>
          <w:iCs/>
        </w:rPr>
        <w:t>.</w:t>
      </w:r>
      <w:r w:rsidRPr="00BF3E04">
        <w:t xml:space="preserve"> Pimlico have for their part also published the new editions of, so far, </w:t>
      </w:r>
      <w:r w:rsidRPr="00BF3E04">
        <w:rPr>
          <w:i/>
          <w:iCs/>
        </w:rPr>
        <w:t>The Crooked Timber of Humanity</w:t>
      </w:r>
      <w:r w:rsidRPr="00BF3E04">
        <w:t xml:space="preserve"> and </w:t>
      </w:r>
      <w:r w:rsidRPr="00BF3E04">
        <w:rPr>
          <w:i/>
          <w:iCs/>
        </w:rPr>
        <w:t>Three Critics of the Enlightenment</w:t>
      </w:r>
      <w:r w:rsidRPr="00BF3E04">
        <w:t xml:space="preserve">, and Vintage have added a foreword by Andrew Marr to a reissue of </w:t>
      </w:r>
      <w:r w:rsidRPr="00BF3E04">
        <w:rPr>
          <w:i/>
          <w:iCs/>
        </w:rPr>
        <w:t>The Proper Study of Mankind</w:t>
      </w:r>
      <w:r w:rsidRPr="00BF3E04">
        <w:t>.</w:t>
      </w:r>
    </w:p>
  </w:footnote>
  <w:footnote w:id="4">
    <w:p w:rsidR="00B37854" w:rsidRPr="00BF3E04" w:rsidRDefault="00B37854" w:rsidP="00520A7A">
      <w:pPr>
        <w:pStyle w:val="FootnoteText"/>
        <w:ind w:firstLine="0"/>
      </w:pPr>
      <w:r w:rsidRPr="00BF3E04">
        <w:t xml:space="preserve">     </w:t>
      </w:r>
      <w:r w:rsidRPr="00BF3E04">
        <w:rPr>
          <w:rStyle w:val="FootnoteReference"/>
        </w:rPr>
        <w:footnoteRef/>
      </w:r>
      <w:r w:rsidRPr="00BF3E04">
        <w:t xml:space="preserve"> Ed. Henry Hardy and Aileen Kelly, introduction by Aileen Kelly, revised by Henry Hardy, glossary of names by Jason Ferrell (</w:t>
      </w:r>
      <w:smartTag w:uri="urn:schemas-microsoft-com:office:smarttags" w:element="place">
        <w:smartTag w:uri="urn:schemas-microsoft-com:office:smarttags" w:element="City">
          <w:r w:rsidRPr="00BF3E04">
            <w:t>London</w:t>
          </w:r>
        </w:smartTag>
      </w:smartTag>
      <w:r w:rsidRPr="00BF3E04">
        <w:t xml:space="preserve">, 2008: Penguin Classics). </w:t>
      </w:r>
    </w:p>
  </w:footnote>
  <w:footnote w:id="5">
    <w:p w:rsidR="00B37854" w:rsidRPr="00BF3E04" w:rsidRDefault="00B37854" w:rsidP="00C5359A">
      <w:pPr>
        <w:pStyle w:val="FootnoteText"/>
        <w:ind w:firstLine="284"/>
      </w:pPr>
      <w:r w:rsidRPr="00BF3E04">
        <w:rPr>
          <w:rStyle w:val="FootnoteReference"/>
        </w:rPr>
        <w:footnoteRef/>
      </w:r>
      <w:r w:rsidRPr="00BF3E04">
        <w:t xml:space="preserve"> </w:t>
      </w:r>
      <w:r w:rsidRPr="00BF3E04">
        <w:rPr>
          <w:i/>
        </w:rPr>
        <w:t>The Soviet Mind: Russian Culture under Communism</w:t>
      </w:r>
      <w:r w:rsidRPr="00BF3E04">
        <w:t>, ed. Henry Hardy, foreword by Strobe Talbott (</w:t>
      </w:r>
      <w:smartTag w:uri="urn:schemas-microsoft-com:office:smarttags" w:element="place">
        <w:smartTag w:uri="urn:schemas-microsoft-com:office:smarttags" w:element="City">
          <w:r w:rsidRPr="00BF3E04">
            <w:t>Washington</w:t>
          </w:r>
        </w:smartTag>
        <w:r w:rsidRPr="00BF3E04">
          <w:t xml:space="preserve">, </w:t>
        </w:r>
        <w:smartTag w:uri="urn:schemas-microsoft-com:office:smarttags" w:element="State">
          <w:r w:rsidRPr="00BF3E04">
            <w:t>DC</w:t>
          </w:r>
        </w:smartTag>
      </w:smartTag>
      <w:r w:rsidRPr="00BF3E04">
        <w:t>, 2004: Brookings Institution Press</w:t>
      </w:r>
      <w:r w:rsidR="00C5359A" w:rsidRPr="00C5359A">
        <w:rPr>
          <w:rFonts w:ascii="Helvetica" w:hAnsi="Helvetica" w:cs="Helvetica"/>
          <w:color w:val="FF0000"/>
          <w:sz w:val="24"/>
          <w:szCs w:val="24"/>
        </w:rPr>
        <w:t xml:space="preserve"> </w:t>
      </w:r>
      <w:r w:rsidR="00C5359A" w:rsidRPr="00C5359A">
        <w:t>; 2nd [Brookings Classic] ed. 2016</w:t>
      </w:r>
      <w:r w:rsidRPr="00BF3E04">
        <w:t xml:space="preserve">). </w:t>
      </w:r>
    </w:p>
  </w:footnote>
  <w:footnote w:id="6">
    <w:p w:rsidR="00B37854" w:rsidRPr="00BF3E04" w:rsidRDefault="00B37854" w:rsidP="003F60EF">
      <w:pPr>
        <w:pStyle w:val="FootnoteText"/>
        <w:ind w:firstLine="284"/>
      </w:pPr>
      <w:r w:rsidRPr="00BF3E04">
        <w:rPr>
          <w:rStyle w:val="FootnoteReference"/>
        </w:rPr>
        <w:footnoteRef/>
      </w:r>
      <w:r w:rsidRPr="00BF3E04">
        <w:t xml:space="preserve"> Published in the UK</w:t>
      </w:r>
      <w:r w:rsidR="00C5359A">
        <w:t>, and in the US in paperback,</w:t>
      </w:r>
      <w:r w:rsidRPr="00BF3E04">
        <w:t xml:space="preserve"> as </w:t>
      </w:r>
      <w:r w:rsidRPr="00BF3E04">
        <w:rPr>
          <w:i/>
        </w:rPr>
        <w:t>Flourishing: Letters 1928–1946</w:t>
      </w:r>
      <w:r w:rsidRPr="00BF3E04">
        <w:t xml:space="preserve"> (</w:t>
      </w:r>
      <w:smartTag w:uri="urn:schemas-microsoft-com:office:smarttags" w:element="City">
        <w:r w:rsidRPr="00BF3E04">
          <w:t>London</w:t>
        </w:r>
      </w:smartTag>
      <w:r w:rsidRPr="00BF3E04">
        <w:t>, 2004: Chatto and Windus)</w:t>
      </w:r>
      <w:r w:rsidR="00C5359A">
        <w:t>,</w:t>
      </w:r>
      <w:r w:rsidRPr="00BF3E04">
        <w:t xml:space="preserve"> and in the </w:t>
      </w:r>
      <w:smartTag w:uri="urn:schemas-microsoft-com:office:smarttags" w:element="country-region">
        <w:r w:rsidRPr="00BF3E04">
          <w:t>US</w:t>
        </w:r>
      </w:smartTag>
      <w:r w:rsidRPr="00BF3E04">
        <w:t xml:space="preserve"> </w:t>
      </w:r>
      <w:r w:rsidR="00C5359A">
        <w:t xml:space="preserve">in hardback </w:t>
      </w:r>
      <w:r w:rsidRPr="00BF3E04">
        <w:t xml:space="preserve">as </w:t>
      </w:r>
      <w:r w:rsidRPr="00BF3E04">
        <w:rPr>
          <w:i/>
        </w:rPr>
        <w:t>Letters 1928–1946</w:t>
      </w:r>
      <w:r w:rsidRPr="00BF3E04">
        <w:t xml:space="preserve"> (</w:t>
      </w:r>
      <w:smartTag w:uri="urn:schemas-microsoft-com:office:smarttags" w:element="State">
        <w:r w:rsidRPr="00BF3E04">
          <w:t>New York</w:t>
        </w:r>
      </w:smartTag>
      <w:r w:rsidRPr="00BF3E04">
        <w:t xml:space="preserve">, 2004: </w:t>
      </w:r>
      <w:smartTag w:uri="urn:schemas-microsoft-com:office:smarttags" w:element="place">
        <w:smartTag w:uri="urn:schemas-microsoft-com:office:smarttags" w:element="PlaceName">
          <w:r w:rsidRPr="00BF3E04">
            <w:t>Cambridge</w:t>
          </w:r>
        </w:smartTag>
        <w:r w:rsidRPr="00BF3E04">
          <w:t xml:space="preserve"> </w:t>
        </w:r>
        <w:smartTag w:uri="urn:schemas-microsoft-com:office:smarttags" w:element="PlaceType">
          <w:r w:rsidRPr="00BF3E04">
            <w:t>University</w:t>
          </w:r>
        </w:smartTag>
      </w:smartTag>
      <w:r w:rsidRPr="00BF3E04">
        <w:t xml:space="preserve"> Press). The essay is at 631–7. </w:t>
      </w:r>
    </w:p>
  </w:footnote>
  <w:footnote w:id="7">
    <w:p w:rsidR="00B37854" w:rsidRPr="00BF3E04" w:rsidRDefault="00B37854" w:rsidP="003F60EF">
      <w:pPr>
        <w:pStyle w:val="FootnoteText"/>
        <w:ind w:firstLine="284"/>
      </w:pPr>
      <w:r w:rsidRPr="00BF3E04">
        <w:rPr>
          <w:rStyle w:val="FootnoteReference"/>
        </w:rPr>
        <w:footnoteRef/>
      </w:r>
      <w:r w:rsidRPr="00BF3E04">
        <w:t xml:space="preserve"> </w:t>
      </w:r>
      <w:r w:rsidRPr="00BF3E04">
        <w:rPr>
          <w:i/>
        </w:rPr>
        <w:t>Enlightening: Letters 1946–1960</w:t>
      </w:r>
      <w:r w:rsidRPr="00BF3E04">
        <w:t>, ed. Henry Hardy and Jennifer Holmes (</w:t>
      </w:r>
      <w:smartTag w:uri="urn:schemas-microsoft-com:office:smarttags" w:element="place">
        <w:smartTag w:uri="urn:schemas-microsoft-com:office:smarttags" w:element="City">
          <w:r w:rsidRPr="00BF3E04">
            <w:t>London</w:t>
          </w:r>
        </w:smartTag>
      </w:smartTag>
      <w:r w:rsidRPr="00BF3E04">
        <w:t xml:space="preserve">, 2009: Chatto and Windus). </w:t>
      </w:r>
    </w:p>
  </w:footnote>
  <w:footnote w:id="8">
    <w:p w:rsidR="00B37854" w:rsidRPr="00BF3E04" w:rsidRDefault="00B37854" w:rsidP="003F60EF">
      <w:pPr>
        <w:pStyle w:val="FootnoteText"/>
        <w:ind w:firstLine="284"/>
      </w:pPr>
      <w:r w:rsidRPr="00BF3E04">
        <w:rPr>
          <w:rStyle w:val="FootnoteReference"/>
        </w:rPr>
        <w:footnoteRef/>
      </w:r>
      <w:r w:rsidRPr="00BF3E04">
        <w:t xml:space="preserve"> </w:t>
      </w:r>
      <w:r w:rsidRPr="00BF3E04">
        <w:rPr>
          <w:i/>
        </w:rPr>
        <w:t>Building: Letters 1960–1975</w:t>
      </w:r>
      <w:r w:rsidRPr="00BF3E04">
        <w:rPr>
          <w:iCs/>
        </w:rPr>
        <w:t>, ed. Henry Hardy and Mark Pottle</w:t>
      </w:r>
      <w:r w:rsidRPr="00BF3E04">
        <w:t xml:space="preserve"> (</w:t>
      </w:r>
      <w:smartTag w:uri="urn:schemas-microsoft-com:office:smarttags" w:element="City">
        <w:smartTag w:uri="urn:schemas-microsoft-com:office:smarttags" w:element="place">
          <w:r w:rsidRPr="00BF3E04">
            <w:t>London</w:t>
          </w:r>
        </w:smartTag>
      </w:smartTag>
      <w:r w:rsidRPr="00BF3E04">
        <w:t xml:space="preserve">, 2013: Chatto and Windus). </w:t>
      </w:r>
    </w:p>
  </w:footnote>
  <w:footnote w:id="9">
    <w:p w:rsidR="00517AFD" w:rsidRPr="00517AFD" w:rsidRDefault="00517AFD" w:rsidP="00517AFD">
      <w:pPr>
        <w:pStyle w:val="FootnoteText"/>
        <w:ind w:firstLine="284"/>
      </w:pPr>
      <w:r w:rsidRPr="00517AFD">
        <w:rPr>
          <w:rStyle w:val="FootnoteReference"/>
        </w:rPr>
        <w:footnoteRef/>
      </w:r>
      <w:r w:rsidRPr="00517AFD">
        <w:t xml:space="preserve"> </w:t>
      </w:r>
      <w:r w:rsidRPr="00517AFD">
        <w:rPr>
          <w:i/>
        </w:rPr>
        <w:t>Affirming: Letters 1975–1997</w:t>
      </w:r>
      <w:r w:rsidRPr="00517AFD">
        <w:rPr>
          <w:iCs/>
        </w:rPr>
        <w:t>, ed. Henry Hardy and Mark Pottle</w:t>
      </w:r>
      <w:r w:rsidRPr="00517AFD">
        <w:t xml:space="preserve"> (</w:t>
      </w:r>
      <w:smartTag w:uri="urn:schemas-microsoft-com:office:smarttags" w:element="City">
        <w:smartTag w:uri="urn:schemas-microsoft-com:office:smarttags" w:element="place">
          <w:r w:rsidRPr="00517AFD">
            <w:t>London</w:t>
          </w:r>
        </w:smartTag>
      </w:smartTag>
      <w:r w:rsidRPr="00517AFD">
        <w:t>, 2015: Chatto and Windus).</w:t>
      </w:r>
    </w:p>
  </w:footnote>
  <w:footnote w:id="10">
    <w:p w:rsidR="00B37854" w:rsidRPr="00BF3E04" w:rsidRDefault="00B37854" w:rsidP="003F60EF">
      <w:pPr>
        <w:pStyle w:val="FootnoteText"/>
        <w:ind w:firstLine="284"/>
      </w:pPr>
      <w:r w:rsidRPr="00BF3E04">
        <w:rPr>
          <w:rStyle w:val="FootnoteReference"/>
        </w:rPr>
        <w:footnoteRef/>
      </w:r>
      <w:r w:rsidRPr="00BF3E04">
        <w:t> </w:t>
      </w:r>
      <w:smartTag w:uri="urn:schemas-microsoft-com:office:smarttags" w:element="place">
        <w:smartTag w:uri="urn:schemas-microsoft-com:office:smarttags" w:element="State">
          <w:r w:rsidRPr="00BF3E04">
            <w:t>New York</w:t>
          </w:r>
        </w:smartTag>
      </w:smartTag>
      <w:r w:rsidRPr="00BF3E04">
        <w:t xml:space="preserve">, 2006: Prometheus. Foreword by Henry Hardy. </w:t>
      </w:r>
    </w:p>
  </w:footnote>
  <w:footnote w:id="11">
    <w:p w:rsidR="00B37854" w:rsidRPr="00BF3E04" w:rsidRDefault="00B37854" w:rsidP="003F60EF">
      <w:pPr>
        <w:pStyle w:val="FootnoteText"/>
        <w:ind w:firstLine="284"/>
      </w:pPr>
      <w:r w:rsidRPr="00BF3E04">
        <w:rPr>
          <w:rStyle w:val="FootnoteReference"/>
        </w:rPr>
        <w:footnoteRef/>
      </w:r>
      <w:r w:rsidRPr="00BF3E04">
        <w:t xml:space="preserve"> </w:t>
      </w:r>
      <w:smartTag w:uri="urn:schemas-microsoft-com:office:smarttags" w:element="place">
        <w:r w:rsidRPr="00BF3E04">
          <w:t>Frankfurt</w:t>
        </w:r>
      </w:smartTag>
      <w:r w:rsidRPr="00BF3E04">
        <w:t>, 2011: Peter Lang. Originally published in a Polish journal in 2009.</w:t>
      </w:r>
    </w:p>
  </w:footnote>
  <w:footnote w:id="12">
    <w:p w:rsidR="00B37854" w:rsidRPr="00BF3E04" w:rsidRDefault="00B37854" w:rsidP="003F60EF">
      <w:pPr>
        <w:pStyle w:val="FootnoteText"/>
        <w:ind w:firstLine="284"/>
      </w:pPr>
      <w:r w:rsidRPr="00BF3E04">
        <w:rPr>
          <w:rStyle w:val="FootnoteReference"/>
        </w:rPr>
        <w:footnoteRef/>
      </w:r>
      <w:r w:rsidRPr="00BF3E04">
        <w:t xml:space="preserve"> </w:t>
      </w:r>
      <w:smartTag w:uri="urn:schemas-microsoft-com:office:smarttags" w:element="place">
        <w:smartTag w:uri="urn:schemas-microsoft-com:office:smarttags" w:element="City">
          <w:r w:rsidRPr="00BF3E04">
            <w:t>London</w:t>
          </w:r>
        </w:smartTag>
      </w:smartTag>
      <w:r w:rsidRPr="00BF3E04">
        <w:t xml:space="preserve">, 2012: Palgrave Macmillan. See especially parts 1 and 2. </w:t>
      </w:r>
    </w:p>
  </w:footnote>
  <w:footnote w:id="13">
    <w:p w:rsidR="00B37854" w:rsidRPr="00BF3E04" w:rsidRDefault="00B37854" w:rsidP="003F60EF">
      <w:pPr>
        <w:pStyle w:val="FootnoteText"/>
        <w:ind w:firstLine="284"/>
      </w:pPr>
      <w:r w:rsidRPr="00BF3E04">
        <w:rPr>
          <w:rStyle w:val="FootnoteReference"/>
        </w:rPr>
        <w:footnoteRef/>
      </w:r>
      <w:r w:rsidRPr="00BF3E04">
        <w:t xml:space="preserve"> Both in George Crowder and Henry Hardy (eds), </w:t>
      </w:r>
      <w:r w:rsidRPr="00BF3E04">
        <w:rPr>
          <w:i/>
        </w:rPr>
        <w:t>The One and the Many</w:t>
      </w:r>
      <w:r w:rsidRPr="00BF3E04">
        <w:t xml:space="preserve"> (</w:t>
      </w:r>
      <w:smartTag w:uri="urn:schemas-microsoft-com:office:smarttags" w:element="place">
        <w:smartTag w:uri="urn:schemas-microsoft-com:office:smarttags" w:element="State">
          <w:r w:rsidRPr="00BF3E04">
            <w:t>New York</w:t>
          </w:r>
        </w:smartTag>
      </w:smartTag>
      <w:r w:rsidRPr="00BF3E04">
        <w:t xml:space="preserve">, 2007: Prometheus) (hereafter </w:t>
      </w:r>
      <w:r w:rsidRPr="00BF3E04">
        <w:rPr>
          <w:i/>
        </w:rPr>
        <w:t>The One and the Many</w:t>
      </w:r>
      <w:r w:rsidRPr="00BF3E04">
        <w:t>), chapters 4 and 1 respectively.</w:t>
      </w:r>
    </w:p>
  </w:footnote>
  <w:footnote w:id="14">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rStyle w:val="Emphasis"/>
          <w:sz w:val="22"/>
        </w:rPr>
        <w:t>Rethinking History</w:t>
      </w:r>
      <w:r w:rsidRPr="00BF3E04">
        <w:rPr>
          <w:sz w:val="22"/>
        </w:rPr>
        <w:t xml:space="preserve"> 10 (2006), 75</w:t>
      </w:r>
      <w:r w:rsidRPr="00BF3E04">
        <w:rPr>
          <w:rStyle w:val="Emphasis"/>
          <w:sz w:val="22"/>
        </w:rPr>
        <w:t>–</w:t>
      </w:r>
      <w:r w:rsidRPr="00BF3E04">
        <w:rPr>
          <w:sz w:val="22"/>
        </w:rPr>
        <w:t>93.</w:t>
      </w:r>
    </w:p>
  </w:footnote>
  <w:footnote w:id="15">
    <w:p w:rsidR="00B37854" w:rsidRPr="00BF3E04" w:rsidRDefault="00B37854" w:rsidP="003F60EF">
      <w:pPr>
        <w:pStyle w:val="FootnoteText"/>
        <w:ind w:firstLine="284"/>
      </w:pPr>
      <w:r w:rsidRPr="00BF3E04">
        <w:rPr>
          <w:rStyle w:val="FootnoteReference"/>
        </w:rPr>
        <w:footnoteRef/>
      </w:r>
      <w:r w:rsidRPr="00BF3E04">
        <w:t xml:space="preserve"> Joshua Cherniss, </w:t>
      </w:r>
      <w:r w:rsidRPr="00BF3E04">
        <w:rPr>
          <w:i/>
        </w:rPr>
        <w:t>A Mind and Its Time: The Development of Isaiah Berlin’s Political Thought</w:t>
      </w:r>
      <w:r w:rsidRPr="00BF3E04">
        <w:t xml:space="preserve"> (</w:t>
      </w:r>
      <w:smartTag w:uri="urn:schemas-microsoft-com:office:smarttags" w:element="place">
        <w:smartTag w:uri="urn:schemas-microsoft-com:office:smarttags" w:element="City">
          <w:r w:rsidRPr="00BF3E04">
            <w:t>Oxford</w:t>
          </w:r>
        </w:smartTag>
      </w:smartTag>
      <w:r w:rsidRPr="00BF3E04">
        <w:t xml:space="preserve">, 2013: Clarendon Press). </w:t>
      </w:r>
    </w:p>
  </w:footnote>
  <w:footnote w:id="16">
    <w:p w:rsidR="00B37854" w:rsidRPr="00BF3E04" w:rsidRDefault="00B37854" w:rsidP="003F60EF">
      <w:pPr>
        <w:pStyle w:val="FootnoteText"/>
        <w:ind w:firstLine="284"/>
      </w:pPr>
      <w:r w:rsidRPr="00BF3E04">
        <w:rPr>
          <w:rStyle w:val="FootnoteReference"/>
        </w:rPr>
        <w:footnoteRef/>
      </w:r>
      <w:r w:rsidRPr="00BF3E04">
        <w:t xml:space="preserve"> </w:t>
      </w:r>
      <w:r w:rsidRPr="00BF3E04">
        <w:rPr>
          <w:i/>
        </w:rPr>
        <w:t>History of Political Thought</w:t>
      </w:r>
      <w:r w:rsidRPr="00BF3E04">
        <w:t xml:space="preserve"> 29 (2008), 344–69. </w:t>
      </w:r>
    </w:p>
  </w:footnote>
  <w:footnote w:id="17">
    <w:p w:rsidR="00B37854" w:rsidRPr="00BF3E04" w:rsidRDefault="00B37854" w:rsidP="003F60EF">
      <w:pPr>
        <w:pStyle w:val="FootnoteText"/>
        <w:ind w:firstLine="284"/>
      </w:pPr>
      <w:r w:rsidRPr="00BF3E04">
        <w:rPr>
          <w:rStyle w:val="FootnoteReference"/>
        </w:rPr>
        <w:footnoteRef/>
      </w:r>
      <w:r w:rsidRPr="00BF3E04">
        <w:t xml:space="preserve"> </w:t>
      </w:r>
      <w:smartTag w:uri="urn:schemas-microsoft-com:office:smarttags" w:element="place">
        <w:smartTag w:uri="urn:schemas-microsoft-com:office:smarttags" w:element="City">
          <w:r w:rsidRPr="00BF3E04">
            <w:t>London</w:t>
          </w:r>
        </w:smartTag>
      </w:smartTag>
      <w:r w:rsidRPr="00BF3E04">
        <w:t>, 2006: Routledge. See c</w:t>
      </w:r>
      <w:r w:rsidRPr="00BF3E04">
        <w:rPr>
          <w:bCs/>
        </w:rPr>
        <w:t>hapter 6, ‘Enlightened Totalitarianism’.</w:t>
      </w:r>
    </w:p>
  </w:footnote>
  <w:footnote w:id="18">
    <w:p w:rsidR="00B37854" w:rsidRPr="00BF3E04" w:rsidRDefault="00B37854" w:rsidP="003F60EF">
      <w:pPr>
        <w:pStyle w:val="NormalWeb"/>
        <w:contextualSpacing/>
      </w:pPr>
      <w:r w:rsidRPr="00BF3E04">
        <w:rPr>
          <w:rStyle w:val="FootnoteReference"/>
          <w:rFonts w:ascii="Garamond" w:hAnsi="Garamond"/>
          <w:sz w:val="22"/>
          <w:szCs w:val="22"/>
        </w:rPr>
        <w:footnoteRef/>
      </w:r>
      <w:r w:rsidRPr="00BF3E04">
        <w:rPr>
          <w:rFonts w:ascii="Garamond" w:hAnsi="Garamond"/>
          <w:sz w:val="22"/>
          <w:szCs w:val="22"/>
        </w:rPr>
        <w:t xml:space="preserve"> </w:t>
      </w:r>
      <w:r w:rsidRPr="00BF3E04">
        <w:rPr>
          <w:rStyle w:val="Emphasis"/>
          <w:rFonts w:ascii="Garamond" w:hAnsi="Garamond"/>
          <w:sz w:val="22"/>
          <w:szCs w:val="22"/>
        </w:rPr>
        <w:t>History of Political Thought</w:t>
      </w:r>
      <w:r w:rsidRPr="00BF3E04">
        <w:rPr>
          <w:rFonts w:ascii="Garamond" w:hAnsi="Garamond"/>
          <w:sz w:val="22"/>
          <w:szCs w:val="22"/>
        </w:rPr>
        <w:t xml:space="preserve"> 29 (2008), 109–31.</w:t>
      </w:r>
    </w:p>
  </w:footnote>
  <w:footnote w:id="19">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rStyle w:val="Emphasis"/>
          <w:sz w:val="22"/>
        </w:rPr>
        <w:t>Studi storici</w:t>
      </w:r>
      <w:r w:rsidRPr="00BF3E04">
        <w:rPr>
          <w:sz w:val="22"/>
        </w:rPr>
        <w:t xml:space="preserve"> 3 (2011), 597–603. </w:t>
      </w:r>
    </w:p>
  </w:footnote>
  <w:footnote w:id="20">
    <w:p w:rsidR="00B37854" w:rsidRPr="00BF3E04" w:rsidRDefault="00B37854" w:rsidP="003F60EF">
      <w:pPr>
        <w:pStyle w:val="FootnoteText"/>
        <w:ind w:firstLine="284"/>
      </w:pPr>
      <w:r w:rsidRPr="00BF3E04">
        <w:rPr>
          <w:rStyle w:val="FootnoteReference"/>
        </w:rPr>
        <w:footnoteRef/>
      </w:r>
      <w:r w:rsidRPr="00BF3E04">
        <w:t xml:space="preserve"> </w:t>
      </w:r>
      <w:smartTag w:uri="urn:schemas-microsoft-com:office:smarttags" w:element="City">
        <w:r w:rsidRPr="00BF3E04">
          <w:t>New Haven</w:t>
        </w:r>
      </w:smartTag>
      <w:r w:rsidRPr="00BF3E04">
        <w:t xml:space="preserve">, 2011: </w:t>
      </w:r>
      <w:smartTag w:uri="urn:schemas-microsoft-com:office:smarttags" w:element="place">
        <w:smartTag w:uri="urn:schemas-microsoft-com:office:smarttags" w:element="PlaceName">
          <w:r w:rsidRPr="00BF3E04">
            <w:t>Yale</w:t>
          </w:r>
        </w:smartTag>
        <w:r w:rsidRPr="00BF3E04">
          <w:t xml:space="preserve"> </w:t>
        </w:r>
        <w:smartTag w:uri="urn:schemas-microsoft-com:office:smarttags" w:element="PlaceType">
          <w:r w:rsidRPr="00BF3E04">
            <w:t>University</w:t>
          </w:r>
        </w:smartTag>
      </w:smartTag>
      <w:r w:rsidRPr="00BF3E04">
        <w:t xml:space="preserve"> Press. </w:t>
      </w:r>
    </w:p>
  </w:footnote>
  <w:footnote w:id="21">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smartTag w:uri="urn:schemas-microsoft-com:office:smarttags" w:element="place">
        <w:smartTag w:uri="urn:schemas-microsoft-com:office:smarttags" w:element="State">
          <w:r w:rsidRPr="00BF3E04">
            <w:rPr>
              <w:sz w:val="22"/>
            </w:rPr>
            <w:t>Berlin</w:t>
          </w:r>
        </w:smartTag>
      </w:smartTag>
      <w:r w:rsidRPr="00BF3E04">
        <w:rPr>
          <w:sz w:val="22"/>
        </w:rPr>
        <w:t xml:space="preserve">’s Two Concepts of Liberty: A Reassessment and Revision’, </w:t>
      </w:r>
      <w:r w:rsidRPr="00BF3E04">
        <w:rPr>
          <w:i/>
          <w:sz w:val="22"/>
        </w:rPr>
        <w:t>Polity</w:t>
      </w:r>
      <w:r w:rsidRPr="00BF3E04">
        <w:rPr>
          <w:sz w:val="22"/>
        </w:rPr>
        <w:t xml:space="preserve"> 38 (2006), 416–46. </w:t>
      </w:r>
    </w:p>
  </w:footnote>
  <w:footnote w:id="22">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‘Saving Positive Freedom’, </w:t>
      </w:r>
      <w:r w:rsidRPr="00BF3E04">
        <w:rPr>
          <w:i/>
          <w:sz w:val="22"/>
        </w:rPr>
        <w:t>Political Theory</w:t>
      </w:r>
      <w:r w:rsidRPr="00BF3E04">
        <w:rPr>
          <w:sz w:val="22"/>
        </w:rPr>
        <w:t xml:space="preserve"> 33 (2005), 79–88. </w:t>
      </w:r>
    </w:p>
  </w:footnote>
  <w:footnote w:id="23">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i/>
          <w:sz w:val="22"/>
        </w:rPr>
        <w:t>Political Philosophy: A Beginner’s Guide for Students and Politicians</w:t>
      </w:r>
      <w:r w:rsidRPr="00BF3E04">
        <w:rPr>
          <w:sz w:val="22"/>
        </w:rPr>
        <w:t xml:space="preserve"> (</w:t>
      </w:r>
      <w:smartTag w:uri="urn:schemas-microsoft-com:office:smarttags" w:element="City">
        <w:r w:rsidRPr="00BF3E04">
          <w:rPr>
            <w:sz w:val="22"/>
          </w:rPr>
          <w:t>Cambridge</w:t>
        </w:r>
      </w:smartTag>
      <w:r w:rsidRPr="00BF3E04">
        <w:rPr>
          <w:sz w:val="22"/>
        </w:rPr>
        <w:t>, 2001: Polity; 2nd ed. 2006), part 2, ‘</w:t>
      </w:r>
      <w:smartTag w:uri="urn:schemas-microsoft-com:office:smarttags" w:element="place">
        <w:smartTag w:uri="urn:schemas-microsoft-com:office:smarttags" w:element="City">
          <w:r w:rsidRPr="00BF3E04">
            <w:rPr>
              <w:sz w:val="22"/>
            </w:rPr>
            <w:t>Liberty</w:t>
          </w:r>
        </w:smartTag>
      </w:smartTag>
      <w:r w:rsidRPr="00BF3E04">
        <w:rPr>
          <w:sz w:val="22"/>
        </w:rPr>
        <w:t xml:space="preserve">’. </w:t>
      </w:r>
    </w:p>
  </w:footnote>
  <w:footnote w:id="24">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i/>
          <w:sz w:val="22"/>
        </w:rPr>
        <w:t>Proceedings of the British Academy</w:t>
      </w:r>
      <w:r w:rsidRPr="00BF3E04">
        <w:rPr>
          <w:sz w:val="22"/>
        </w:rPr>
        <w:t xml:space="preserve"> 117 (2002), 237–68; shortened version, </w:t>
      </w:r>
      <w:r w:rsidRPr="00BF3E04">
        <w:rPr>
          <w:i/>
          <w:sz w:val="22"/>
        </w:rPr>
        <w:t>London Review of Books</w:t>
      </w:r>
      <w:r w:rsidRPr="00BF3E04">
        <w:rPr>
          <w:sz w:val="22"/>
        </w:rPr>
        <w:t>, 4 April 2002, 16–18.</w:t>
      </w:r>
    </w:p>
  </w:footnote>
  <w:footnote w:id="25">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smartTag w:uri="urn:schemas-microsoft-com:office:smarttags" w:element="place">
        <w:smartTag w:uri="urn:schemas-microsoft-com:office:smarttags" w:element="City">
          <w:r w:rsidRPr="00BF3E04">
            <w:rPr>
              <w:sz w:val="22"/>
            </w:rPr>
            <w:t>Liberty</w:t>
          </w:r>
        </w:smartTag>
      </w:smartTag>
      <w:r w:rsidRPr="00BF3E04">
        <w:rPr>
          <w:sz w:val="22"/>
        </w:rPr>
        <w:t xml:space="preserve">: One Concept Too Many?’, </w:t>
      </w:r>
      <w:r w:rsidRPr="00BF3E04">
        <w:rPr>
          <w:i/>
          <w:sz w:val="22"/>
        </w:rPr>
        <w:t>Political Theory</w:t>
      </w:r>
      <w:r w:rsidRPr="00BF3E04">
        <w:rPr>
          <w:sz w:val="22"/>
        </w:rPr>
        <w:t xml:space="preserve"> 33 (2005), 58–78.</w:t>
      </w:r>
      <w:r w:rsidRPr="00BF3E04">
        <w:rPr>
          <w:b/>
          <w:sz w:val="22"/>
        </w:rPr>
        <w:t xml:space="preserve"> </w:t>
      </w:r>
    </w:p>
  </w:footnote>
  <w:footnote w:id="26">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rStyle w:val="Emphasis"/>
          <w:sz w:val="22"/>
        </w:rPr>
        <w:t>British Journal for the History of Philosophy</w:t>
      </w:r>
      <w:r w:rsidRPr="00BF3E04">
        <w:rPr>
          <w:sz w:val="22"/>
        </w:rPr>
        <w:t xml:space="preserve"> 19 (2011), 305–26. </w:t>
      </w:r>
    </w:p>
  </w:footnote>
  <w:footnote w:id="27">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rStyle w:val="Emphasis"/>
          <w:sz w:val="22"/>
        </w:rPr>
        <w:t>Ethics</w:t>
      </w:r>
      <w:r w:rsidRPr="00BF3E04">
        <w:rPr>
          <w:sz w:val="22"/>
        </w:rPr>
        <w:t xml:space="preserve"> 121 (2011), 693–716.</w:t>
      </w:r>
    </w:p>
  </w:footnote>
  <w:footnote w:id="28">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‘Modern Theorist of Tyranny? Lessons from Rousseau’s System of Checks and Balances’, </w:t>
      </w:r>
      <w:r w:rsidRPr="00BF3E04">
        <w:rPr>
          <w:i/>
          <w:sz w:val="22"/>
        </w:rPr>
        <w:t>Polity</w:t>
      </w:r>
      <w:r w:rsidRPr="00BF3E04">
        <w:rPr>
          <w:sz w:val="22"/>
        </w:rPr>
        <w:t xml:space="preserve"> 37 (2005), 443–65; ‘Political Ontology and Institutional Design in Montesquieu and Rousseau’, </w:t>
      </w:r>
      <w:r w:rsidRPr="00BF3E04">
        <w:rPr>
          <w:i/>
          <w:sz w:val="22"/>
        </w:rPr>
        <w:t>American Journal of Political Science</w:t>
      </w:r>
      <w:r w:rsidRPr="00BF3E04">
        <w:rPr>
          <w:sz w:val="22"/>
        </w:rPr>
        <w:t xml:space="preserve"> 54 (2010), 525–42.</w:t>
      </w:r>
      <w:r w:rsidRPr="00BF3E04">
        <w:rPr>
          <w:b/>
          <w:sz w:val="22"/>
        </w:rPr>
        <w:t xml:space="preserve"> </w:t>
      </w:r>
    </w:p>
  </w:footnote>
  <w:footnote w:id="29">
    <w:p w:rsidR="00B37854" w:rsidRPr="00BF3E04" w:rsidRDefault="00B37854" w:rsidP="003F60EF">
      <w:pPr>
        <w:pStyle w:val="FootnoteText"/>
        <w:ind w:firstLine="284"/>
      </w:pPr>
      <w:r w:rsidRPr="00BF3E04">
        <w:rPr>
          <w:rStyle w:val="FootnoteReference"/>
        </w:rPr>
        <w:footnoteRef/>
      </w:r>
      <w:r w:rsidRPr="00BF3E04">
        <w:t xml:space="preserve"> Bruce Baum and Robert Nichols (eds), </w:t>
      </w:r>
      <w:r w:rsidRPr="00BF3E04">
        <w:rPr>
          <w:i/>
        </w:rPr>
        <w:t xml:space="preserve">Isaiah </w:t>
      </w:r>
      <w:smartTag w:uri="urn:schemas-microsoft-com:office:smarttags" w:element="State">
        <w:r w:rsidRPr="00BF3E04">
          <w:rPr>
            <w:i/>
          </w:rPr>
          <w:t>Berlin</w:t>
        </w:r>
      </w:smartTag>
      <w:r w:rsidRPr="00BF3E04">
        <w:rPr>
          <w:i/>
        </w:rPr>
        <w:t xml:space="preserve"> and the Politics of Freedom: </w:t>
      </w:r>
      <w:r w:rsidRPr="00BF3E04">
        <w:rPr>
          <w:i/>
          <w:spacing w:val="20"/>
        </w:rPr>
        <w:t>‘</w:t>
      </w:r>
      <w:r w:rsidRPr="00BF3E04">
        <w:rPr>
          <w:i/>
        </w:rPr>
        <w:t xml:space="preserve">Two Concepts of </w:t>
      </w:r>
      <w:smartTag w:uri="urn:schemas-microsoft-com:office:smarttags" w:element="City">
        <w:r w:rsidRPr="00BF3E04">
          <w:rPr>
            <w:i/>
          </w:rPr>
          <w:t>Liberty</w:t>
        </w:r>
      </w:smartTag>
      <w:r w:rsidRPr="00BF3E04">
        <w:rPr>
          <w:i/>
        </w:rPr>
        <w:t>’ Fifty Years Later</w:t>
      </w:r>
      <w:r w:rsidRPr="00BF3E04">
        <w:t xml:space="preserve"> (</w:t>
      </w:r>
      <w:smartTag w:uri="urn:schemas-microsoft-com:office:smarttags" w:element="place">
        <w:smartTag w:uri="urn:schemas-microsoft-com:office:smarttags" w:element="City">
          <w:r w:rsidRPr="00BF3E04">
            <w:t>London</w:t>
          </w:r>
        </w:smartTag>
      </w:smartTag>
      <w:r w:rsidRPr="00BF3E04">
        <w:t xml:space="preserve">, 2012: Taylor and Francis). </w:t>
      </w:r>
    </w:p>
  </w:footnote>
  <w:footnote w:id="30">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‘The Alleged Relativism of Isaiah </w:t>
      </w:r>
      <w:smartTag w:uri="urn:schemas-microsoft-com:office:smarttags" w:element="place">
        <w:smartTag w:uri="urn:schemas-microsoft-com:office:smarttags" w:element="State">
          <w:r w:rsidRPr="00BF3E04">
            <w:rPr>
              <w:sz w:val="22"/>
            </w:rPr>
            <w:t>Berlin</w:t>
          </w:r>
        </w:smartTag>
      </w:smartTag>
      <w:r w:rsidRPr="00BF3E04">
        <w:rPr>
          <w:sz w:val="22"/>
        </w:rPr>
        <w:t xml:space="preserve">’, </w:t>
      </w:r>
      <w:r w:rsidRPr="00BF3E04">
        <w:rPr>
          <w:rStyle w:val="Emphasis"/>
          <w:sz w:val="22"/>
        </w:rPr>
        <w:t>Critical Review of International Social and Political Philosophy</w:t>
      </w:r>
      <w:r w:rsidRPr="00BF3E04">
        <w:rPr>
          <w:sz w:val="22"/>
        </w:rPr>
        <w:t xml:space="preserve"> 11 (2008), 41–56.</w:t>
      </w:r>
    </w:p>
  </w:footnote>
  <w:footnote w:id="31">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‘Pluralism, Relativism, and Liberalism’, </w:t>
      </w:r>
      <w:r w:rsidRPr="00BF3E04">
        <w:rPr>
          <w:i/>
          <w:sz w:val="22"/>
        </w:rPr>
        <w:t>Political Research Quarterly</w:t>
      </w:r>
      <w:r w:rsidRPr="00BF3E04">
        <w:rPr>
          <w:sz w:val="22"/>
        </w:rPr>
        <w:t xml:space="preserve"> 62 (2009), 244–56. </w:t>
      </w:r>
    </w:p>
  </w:footnote>
  <w:footnote w:id="32">
    <w:p w:rsidR="00B37854" w:rsidRPr="00BF3E04" w:rsidRDefault="00B37854" w:rsidP="003F60EF">
      <w:pPr>
        <w:pStyle w:val="FootnoteText"/>
        <w:ind w:firstLine="284"/>
      </w:pPr>
      <w:r w:rsidRPr="00BF3E04">
        <w:rPr>
          <w:rStyle w:val="FootnoteReference"/>
        </w:rPr>
        <w:footnoteRef/>
      </w:r>
      <w:r w:rsidRPr="00BF3E04">
        <w:t xml:space="preserve"> </w:t>
      </w:r>
      <w:r w:rsidRPr="00BF3E04">
        <w:rPr>
          <w:i/>
        </w:rPr>
        <w:t>Political Theory</w:t>
      </w:r>
      <w:r w:rsidRPr="00BF3E04">
        <w:t xml:space="preserve"> 30 (2002), 68–96. </w:t>
      </w:r>
    </w:p>
  </w:footnote>
  <w:footnote w:id="33">
    <w:p w:rsidR="00B37854" w:rsidRPr="00BF3E04" w:rsidRDefault="00B37854" w:rsidP="003F60EF">
      <w:pPr>
        <w:pStyle w:val="FootnoteText"/>
        <w:ind w:firstLine="284"/>
      </w:pPr>
      <w:r w:rsidRPr="00BF3E04">
        <w:rPr>
          <w:rStyle w:val="FootnoteReference"/>
        </w:rPr>
        <w:footnoteRef/>
      </w:r>
      <w:r w:rsidRPr="00BF3E04">
        <w:t xml:space="preserve"> Chapter 2 of his </w:t>
      </w:r>
      <w:r w:rsidRPr="00BF3E04">
        <w:rPr>
          <w:bCs/>
          <w:i/>
        </w:rPr>
        <w:t xml:space="preserve">Contemporary Theories of Liberalism: Public Reason as a Post-Enlightenment Project </w:t>
      </w:r>
      <w:r w:rsidRPr="00BF3E04">
        <w:rPr>
          <w:bCs/>
        </w:rPr>
        <w:t>(</w:t>
      </w:r>
      <w:smartTag w:uri="urn:schemas-microsoft-com:office:smarttags" w:element="place">
        <w:smartTag w:uri="urn:schemas-microsoft-com:office:smarttags" w:element="City">
          <w:r w:rsidRPr="00BF3E04">
            <w:t>London</w:t>
          </w:r>
        </w:smartTag>
      </w:smartTag>
      <w:r w:rsidRPr="00BF3E04">
        <w:t>, 2003: Sage).</w:t>
      </w:r>
    </w:p>
  </w:footnote>
  <w:footnote w:id="34">
    <w:p w:rsidR="00B37854" w:rsidRPr="00BF3E04" w:rsidRDefault="00B37854" w:rsidP="003F60EF">
      <w:pPr>
        <w:pStyle w:val="FootnoteText"/>
        <w:ind w:firstLine="284"/>
      </w:pPr>
      <w:r w:rsidRPr="00BF3E04">
        <w:rPr>
          <w:rStyle w:val="FootnoteReference"/>
        </w:rPr>
        <w:footnoteRef/>
      </w:r>
      <w:r w:rsidRPr="00BF3E04">
        <w:t xml:space="preserve"> </w:t>
      </w:r>
      <w:smartTag w:uri="urn:schemas-microsoft-com:office:smarttags" w:element="City">
        <w:r w:rsidRPr="00BF3E04">
          <w:t>Cambridge</w:t>
        </w:r>
      </w:smartTag>
      <w:r w:rsidRPr="00BF3E04">
        <w:t xml:space="preserve">, 2002: </w:t>
      </w:r>
      <w:smartTag w:uri="urn:schemas-microsoft-com:office:smarttags" w:element="place">
        <w:smartTag w:uri="urn:schemas-microsoft-com:office:smarttags" w:element="PlaceName">
          <w:r w:rsidRPr="00BF3E04">
            <w:t>Cambridge</w:t>
          </w:r>
        </w:smartTag>
        <w:r w:rsidRPr="00BF3E04">
          <w:t xml:space="preserve"> </w:t>
        </w:r>
        <w:smartTag w:uri="urn:schemas-microsoft-com:office:smarttags" w:element="PlaceType">
          <w:r w:rsidRPr="00BF3E04">
            <w:t>University</w:t>
          </w:r>
        </w:smartTag>
      </w:smartTag>
      <w:r w:rsidRPr="00BF3E04">
        <w:t xml:space="preserve"> Press. </w:t>
      </w:r>
    </w:p>
  </w:footnote>
  <w:footnote w:id="35">
    <w:p w:rsidR="00B37854" w:rsidRPr="00BF3E04" w:rsidRDefault="00B37854" w:rsidP="003F60EF">
      <w:pPr>
        <w:pStyle w:val="FootnoteText"/>
        <w:ind w:firstLine="284"/>
      </w:pPr>
      <w:r w:rsidRPr="00BF3E04">
        <w:rPr>
          <w:rStyle w:val="FootnoteReference"/>
        </w:rPr>
        <w:footnoteRef/>
      </w:r>
      <w:r w:rsidRPr="00BF3E04">
        <w:t xml:space="preserve"> George Crowder, </w:t>
      </w:r>
      <w:r w:rsidRPr="00BF3E04">
        <w:rPr>
          <w:i/>
        </w:rPr>
        <w:t xml:space="preserve">Isaiah </w:t>
      </w:r>
      <w:smartTag w:uri="urn:schemas-microsoft-com:office:smarttags" w:element="State">
        <w:r w:rsidRPr="00BF3E04">
          <w:rPr>
            <w:i/>
          </w:rPr>
          <w:t>Berlin</w:t>
        </w:r>
      </w:smartTag>
      <w:r w:rsidRPr="00BF3E04">
        <w:rPr>
          <w:i/>
        </w:rPr>
        <w:t xml:space="preserve">: </w:t>
      </w:r>
      <w:smartTag w:uri="urn:schemas-microsoft-com:office:smarttags" w:element="City">
        <w:r w:rsidRPr="00BF3E04">
          <w:rPr>
            <w:i/>
          </w:rPr>
          <w:t>Liberty</w:t>
        </w:r>
      </w:smartTag>
      <w:r w:rsidRPr="00BF3E04">
        <w:rPr>
          <w:i/>
        </w:rPr>
        <w:t xml:space="preserve"> and Pluralism</w:t>
      </w:r>
      <w:r w:rsidRPr="00BF3E04">
        <w:t xml:space="preserve"> (</w:t>
      </w:r>
      <w:smartTag w:uri="urn:schemas-microsoft-com:office:smarttags" w:element="place">
        <w:smartTag w:uri="urn:schemas-microsoft-com:office:smarttags" w:element="City">
          <w:r w:rsidRPr="00BF3E04">
            <w:t>Cambridge</w:t>
          </w:r>
        </w:smartTag>
      </w:smartTag>
      <w:r w:rsidRPr="00BF3E04">
        <w:t xml:space="preserve">, 2004: Polity). </w:t>
      </w:r>
    </w:p>
  </w:footnote>
  <w:footnote w:id="36">
    <w:p w:rsidR="00B37854" w:rsidRPr="00BF3E04" w:rsidRDefault="00B37854" w:rsidP="003F60EF">
      <w:pPr>
        <w:pStyle w:val="FootnoteText"/>
        <w:ind w:firstLine="284"/>
      </w:pPr>
      <w:r w:rsidRPr="00BF3E04">
        <w:rPr>
          <w:rStyle w:val="FootnoteReference"/>
        </w:rPr>
        <w:footnoteRef/>
      </w:r>
      <w:r w:rsidRPr="00BF3E04">
        <w:t xml:space="preserve"> 366 above, note 4. Some essays in this collection with a different focus are noticed in their places within this postscript.</w:t>
      </w:r>
    </w:p>
  </w:footnote>
  <w:footnote w:id="37">
    <w:p w:rsidR="00B37854" w:rsidRPr="00BF3E04" w:rsidRDefault="00B37854" w:rsidP="003F60EF">
      <w:pPr>
        <w:pStyle w:val="FootnoteText"/>
        <w:ind w:firstLine="284"/>
      </w:pPr>
      <w:r w:rsidRPr="00BF3E04">
        <w:rPr>
          <w:rStyle w:val="FootnoteReference"/>
        </w:rPr>
        <w:footnoteRef/>
      </w:r>
      <w:r w:rsidRPr="00BF3E04">
        <w:t xml:space="preserve"> John Gray, </w:t>
      </w:r>
      <w:r w:rsidRPr="00BF3E04">
        <w:rPr>
          <w:i/>
          <w:iCs/>
        </w:rPr>
        <w:t xml:space="preserve">Isaiah </w:t>
      </w:r>
      <w:smartTag w:uri="urn:schemas-microsoft-com:office:smarttags" w:element="State">
        <w:r w:rsidRPr="00BF3E04">
          <w:rPr>
            <w:i/>
            <w:iCs/>
          </w:rPr>
          <w:t>Berlin</w:t>
        </w:r>
      </w:smartTag>
      <w:r w:rsidRPr="00BF3E04">
        <w:rPr>
          <w:i/>
          <w:iCs/>
        </w:rPr>
        <w:t xml:space="preserve">: An Interpretation of His Thought </w:t>
      </w:r>
      <w:r w:rsidRPr="00BF3E04">
        <w:t xml:space="preserve">(Princeton, 2013: </w:t>
      </w:r>
      <w:smartTag w:uri="urn:schemas-microsoft-com:office:smarttags" w:element="place">
        <w:smartTag w:uri="urn:schemas-microsoft-com:office:smarttags" w:element="PlaceName">
          <w:r w:rsidRPr="00BF3E04">
            <w:t>Princeton</w:t>
          </w:r>
        </w:smartTag>
        <w:r w:rsidRPr="00BF3E04">
          <w:t xml:space="preserve"> </w:t>
        </w:r>
        <w:smartTag w:uri="urn:schemas-microsoft-com:office:smarttags" w:element="PlaceType">
          <w:r w:rsidRPr="00BF3E04">
            <w:t>University</w:t>
          </w:r>
        </w:smartTag>
      </w:smartTag>
      <w:r w:rsidRPr="00BF3E04">
        <w:t xml:space="preserve"> Press).</w:t>
      </w:r>
    </w:p>
  </w:footnote>
  <w:footnote w:id="38">
    <w:p w:rsidR="00B37854" w:rsidRPr="00BF3E04" w:rsidRDefault="00B37854" w:rsidP="003F60EF">
      <w:pPr>
        <w:pStyle w:val="FootnoteText"/>
        <w:ind w:firstLine="284"/>
      </w:pPr>
      <w:r w:rsidRPr="00BF3E04">
        <w:rPr>
          <w:rStyle w:val="FootnoteReference"/>
        </w:rPr>
        <w:footnoteRef/>
      </w:r>
      <w:r w:rsidRPr="00BF3E04">
        <w:t xml:space="preserve"> The 2009 Editor’s Symposium, </w:t>
      </w:r>
      <w:r w:rsidRPr="00BF3E04">
        <w:rPr>
          <w:rStyle w:val="Emphasis"/>
        </w:rPr>
        <w:t>San Diego Law Review</w:t>
      </w:r>
      <w:r w:rsidRPr="00BF3E04">
        <w:t xml:space="preserve"> 46 No 4 (2009). </w:t>
      </w:r>
    </w:p>
  </w:footnote>
  <w:footnote w:id="39">
    <w:p w:rsidR="00B37854" w:rsidRPr="00BF3E04" w:rsidRDefault="00B37854" w:rsidP="003F60EF">
      <w:pPr>
        <w:pStyle w:val="FootnoteText"/>
        <w:ind w:firstLine="284"/>
      </w:pPr>
      <w:r w:rsidRPr="00BF3E04">
        <w:rPr>
          <w:rStyle w:val="FootnoteReference"/>
        </w:rPr>
        <w:footnoteRef/>
      </w:r>
      <w:r w:rsidRPr="00BF3E04">
        <w:t xml:space="preserve"> </w:t>
      </w:r>
      <w:r w:rsidRPr="00BF3E04">
        <w:rPr>
          <w:i/>
        </w:rPr>
        <w:t>Review of Politics</w:t>
      </w:r>
      <w:r w:rsidRPr="00BF3E04">
        <w:t xml:space="preserve"> 72 (2010), 599–625.</w:t>
      </w:r>
    </w:p>
  </w:footnote>
  <w:footnote w:id="40">
    <w:p w:rsidR="00B37854" w:rsidRPr="00BF3E04" w:rsidRDefault="00B37854" w:rsidP="003F60EF">
      <w:pPr>
        <w:pStyle w:val="FootnoteText"/>
        <w:ind w:firstLine="284"/>
      </w:pPr>
      <w:r w:rsidRPr="00BF3E04">
        <w:rPr>
          <w:rStyle w:val="FootnoteReference"/>
        </w:rPr>
        <w:footnoteRef/>
      </w:r>
      <w:r w:rsidRPr="00BF3E04">
        <w:t xml:space="preserve"> </w:t>
      </w:r>
      <w:smartTag w:uri="urn:schemas-microsoft-com:office:smarttags" w:element="City">
        <w:r w:rsidRPr="00BF3E04">
          <w:t>London</w:t>
        </w:r>
      </w:smartTag>
      <w:r w:rsidRPr="00BF3E04">
        <w:t xml:space="preserve"> and </w:t>
      </w:r>
      <w:smartTag w:uri="urn:schemas-microsoft-com:office:smarttags" w:element="place">
        <w:smartTag w:uri="urn:schemas-microsoft-com:office:smarttags" w:element="State">
          <w:r w:rsidRPr="00BF3E04">
            <w:t>New York</w:t>
          </w:r>
        </w:smartTag>
      </w:smartTag>
      <w:r w:rsidRPr="00BF3E04">
        <w:t xml:space="preserve">, 2004: Routledge. The compatibility or otherwise of pluralism with religious belief is the topic of chapters 11–13 of </w:t>
      </w:r>
      <w:r w:rsidRPr="00BF3E04">
        <w:rPr>
          <w:i/>
        </w:rPr>
        <w:t>The One and the Many</w:t>
      </w:r>
      <w:r w:rsidRPr="00BF3E04">
        <w:t>, by William Galston, Jinkins and Henry Hardy.</w:t>
      </w:r>
    </w:p>
  </w:footnote>
  <w:footnote w:id="41">
    <w:p w:rsidR="00B37854" w:rsidRPr="00BF3E04" w:rsidRDefault="00B37854" w:rsidP="003F60EF">
      <w:pPr>
        <w:pStyle w:val="FootnoteText"/>
        <w:ind w:firstLine="284"/>
      </w:pPr>
      <w:r w:rsidRPr="00BF3E04">
        <w:rPr>
          <w:rStyle w:val="FootnoteReference"/>
        </w:rPr>
        <w:footnoteRef/>
      </w:r>
      <w:r w:rsidRPr="00BF3E04">
        <w:t xml:space="preserve"> </w:t>
      </w:r>
      <w:r w:rsidRPr="00BF3E04">
        <w:rPr>
          <w:i/>
        </w:rPr>
        <w:t>Political Theory</w:t>
      </w:r>
      <w:r w:rsidRPr="00BF3E04">
        <w:t xml:space="preserve"> 35 (2007), 121–46. </w:t>
      </w:r>
    </w:p>
  </w:footnote>
  <w:footnote w:id="42">
    <w:p w:rsidR="00B37854" w:rsidRPr="00BF3E04" w:rsidRDefault="00B37854" w:rsidP="003F60EF">
      <w:pPr>
        <w:pStyle w:val="FootnoteText"/>
        <w:ind w:firstLine="284"/>
      </w:pPr>
      <w:r w:rsidRPr="00BF3E04">
        <w:rPr>
          <w:rStyle w:val="FootnoteReference"/>
        </w:rPr>
        <w:footnoteRef/>
      </w:r>
      <w:r w:rsidRPr="00BF3E04">
        <w:t xml:space="preserve"> </w:t>
      </w:r>
      <w:smartTag w:uri="urn:schemas-microsoft-com:office:smarttags" w:element="City">
        <w:r w:rsidRPr="00BF3E04">
          <w:t>Cambridge</w:t>
        </w:r>
      </w:smartTag>
      <w:r w:rsidRPr="00BF3E04">
        <w:t xml:space="preserve">, </w:t>
      </w:r>
      <w:smartTag w:uri="urn:schemas-microsoft-com:office:smarttags" w:element="State">
        <w:r w:rsidRPr="00BF3E04">
          <w:t>Mass.</w:t>
        </w:r>
      </w:smartTag>
      <w:r w:rsidRPr="00BF3E04">
        <w:t xml:space="preserve">, 2011: </w:t>
      </w:r>
      <w:smartTag w:uri="urn:schemas-microsoft-com:office:smarttags" w:element="place">
        <w:smartTag w:uri="urn:schemas-microsoft-com:office:smarttags" w:element="PlaceName">
          <w:r w:rsidRPr="00BF3E04">
            <w:t>Harvard</w:t>
          </w:r>
        </w:smartTag>
        <w:r w:rsidRPr="00BF3E04">
          <w:t xml:space="preserve"> </w:t>
        </w:r>
        <w:smartTag w:uri="urn:schemas-microsoft-com:office:smarttags" w:element="PlaceType">
          <w:r w:rsidRPr="00BF3E04">
            <w:t>University</w:t>
          </w:r>
        </w:smartTag>
      </w:smartTag>
      <w:r w:rsidRPr="00BF3E04">
        <w:t xml:space="preserve"> Press. On politics see especially part 5. </w:t>
      </w:r>
    </w:p>
  </w:footnote>
  <w:footnote w:id="43">
    <w:p w:rsidR="00B37854" w:rsidRPr="00BF3E04" w:rsidRDefault="00B37854" w:rsidP="00C5359A">
      <w:pPr>
        <w:pStyle w:val="FootnoteText"/>
        <w:ind w:firstLine="284"/>
      </w:pPr>
      <w:r w:rsidRPr="00BF3E04">
        <w:rPr>
          <w:rStyle w:val="FootnoteReference"/>
        </w:rPr>
        <w:footnoteRef/>
      </w:r>
      <w:r w:rsidRPr="00BF3E04">
        <w:t xml:space="preserve"> ‘Isaiah </w:t>
      </w:r>
      <w:smartTag w:uri="urn:schemas-microsoft-com:office:smarttags" w:element="place">
        <w:smartTag w:uri="urn:schemas-microsoft-com:office:smarttags" w:element="State">
          <w:r w:rsidRPr="00BF3E04">
            <w:t>Berlin</w:t>
          </w:r>
        </w:smartTag>
      </w:smartTag>
      <w:r w:rsidRPr="00BF3E04">
        <w:t>’s “Minimum of Common Moral Ground</w:t>
      </w:r>
      <w:r w:rsidRPr="00BF3E04">
        <w:rPr>
          <w:spacing w:val="40"/>
        </w:rPr>
        <w:t>”</w:t>
      </w:r>
      <w:r w:rsidRPr="00BF3E04">
        <w:t xml:space="preserve">’, </w:t>
      </w:r>
      <w:r w:rsidRPr="00BF3E04">
        <w:rPr>
          <w:i/>
        </w:rPr>
        <w:t>Political Theory</w:t>
      </w:r>
      <w:r w:rsidRPr="00BF3E04">
        <w:t xml:space="preserve"> 41 (2013)</w:t>
      </w:r>
      <w:r w:rsidR="00C5359A">
        <w:t>, 61–89</w:t>
      </w:r>
      <w:r w:rsidRPr="00BF3E04">
        <w:t xml:space="preserve">. Riley is working on a study of </w:t>
      </w:r>
      <w:smartTag w:uri="urn:schemas-microsoft-com:office:smarttags" w:element="place">
        <w:smartTag w:uri="urn:schemas-microsoft-com:office:smarttags" w:element="State">
          <w:r w:rsidRPr="00BF3E04">
            <w:t>Berlin</w:t>
          </w:r>
        </w:smartTag>
      </w:smartTag>
      <w:r w:rsidRPr="00BF3E04">
        <w:t xml:space="preserve"> and others, provisionally entitled</w:t>
      </w:r>
      <w:r w:rsidRPr="00BF3E04">
        <w:rPr>
          <w:i/>
        </w:rPr>
        <w:t xml:space="preserve"> </w:t>
      </w:r>
      <w:r w:rsidR="00C5359A" w:rsidRPr="00C5359A">
        <w:rPr>
          <w:i/>
          <w:iCs/>
        </w:rPr>
        <w:t>Pluralistic Liberal Democracy: Isaiah Berlin’s Political Thought and Beyond</w:t>
      </w:r>
      <w:r w:rsidRPr="00BF3E04">
        <w:t xml:space="preserve">. </w:t>
      </w:r>
    </w:p>
  </w:footnote>
  <w:footnote w:id="44">
    <w:p w:rsidR="00B37854" w:rsidRPr="00BF3E04" w:rsidRDefault="00B37854" w:rsidP="003F60EF">
      <w:pPr>
        <w:pStyle w:val="FootnoteText"/>
        <w:ind w:firstLine="284"/>
      </w:pPr>
      <w:r w:rsidRPr="00BF3E04">
        <w:rPr>
          <w:rStyle w:val="FootnoteReference"/>
        </w:rPr>
        <w:footnoteRef/>
      </w:r>
      <w:r w:rsidRPr="00BF3E04">
        <w:t xml:space="preserve"> </w:t>
      </w:r>
      <w:r w:rsidRPr="00BF3E04">
        <w:rPr>
          <w:i/>
        </w:rPr>
        <w:t>From Pluralist to Patriotic Politics</w:t>
      </w:r>
      <w:r w:rsidRPr="00BF3E04">
        <w:rPr>
          <w:i/>
          <w:iCs/>
        </w:rPr>
        <w:t>: Putting Practice First</w:t>
      </w:r>
      <w:r w:rsidRPr="00BF3E04">
        <w:t xml:space="preserve"> (</w:t>
      </w:r>
      <w:smartTag w:uri="urn:schemas-microsoft-com:office:smarttags" w:element="place">
        <w:smartTag w:uri="urn:schemas-microsoft-com:office:smarttags" w:element="City">
          <w:r w:rsidRPr="00BF3E04">
            <w:t>Oxford</w:t>
          </w:r>
        </w:smartTag>
      </w:smartTag>
      <w:r w:rsidRPr="00BF3E04">
        <w:t xml:space="preserve">: Clarendon Press, 2000). </w:t>
      </w:r>
    </w:p>
  </w:footnote>
  <w:footnote w:id="45">
    <w:p w:rsidR="00B37854" w:rsidRPr="00BF3E04" w:rsidRDefault="00B37854" w:rsidP="003F60EF">
      <w:pPr>
        <w:pStyle w:val="FootnoteText"/>
        <w:ind w:firstLine="284"/>
      </w:pPr>
      <w:r w:rsidRPr="00BF3E04">
        <w:rPr>
          <w:rStyle w:val="FootnoteReference"/>
        </w:rPr>
        <w:footnoteRef/>
      </w:r>
      <w:r w:rsidRPr="00BF3E04">
        <w:t xml:space="preserve"> Available at &lt;http://papers.ssrn.com/sol3/papers.cfm?abstract_id=1723387&gt;. </w:t>
      </w:r>
    </w:p>
  </w:footnote>
  <w:footnote w:id="46">
    <w:p w:rsidR="00B37854" w:rsidRPr="00BF3E04" w:rsidRDefault="00B37854" w:rsidP="003F60EF">
      <w:pPr>
        <w:pStyle w:val="FootnoteText"/>
        <w:ind w:firstLine="284"/>
      </w:pPr>
      <w:r w:rsidRPr="00BF3E04">
        <w:rPr>
          <w:rStyle w:val="FootnoteReference"/>
        </w:rPr>
        <w:footnoteRef/>
      </w:r>
      <w:r w:rsidRPr="00BF3E04">
        <w:t xml:space="preserve"> Princeton, 2002: </w:t>
      </w:r>
      <w:smartTag w:uri="urn:schemas-microsoft-com:office:smarttags" w:element="place">
        <w:smartTag w:uri="urn:schemas-microsoft-com:office:smarttags" w:element="PlaceName">
          <w:r w:rsidRPr="00BF3E04">
            <w:t>Princeton</w:t>
          </w:r>
        </w:smartTag>
        <w:r w:rsidRPr="00BF3E04">
          <w:t xml:space="preserve"> </w:t>
        </w:r>
        <w:smartTag w:uri="urn:schemas-microsoft-com:office:smarttags" w:element="PlaceType">
          <w:r w:rsidRPr="00BF3E04">
            <w:t>University</w:t>
          </w:r>
        </w:smartTag>
      </w:smartTag>
      <w:r w:rsidRPr="00BF3E04">
        <w:t xml:space="preserve"> Press. Reviewed by David Miller in </w:t>
      </w:r>
      <w:r w:rsidRPr="00BF3E04">
        <w:rPr>
          <w:i/>
        </w:rPr>
        <w:t>History of Political Thought</w:t>
      </w:r>
      <w:r w:rsidRPr="00BF3E04">
        <w:t xml:space="preserve"> 25 (2004), 365–7.</w:t>
      </w:r>
      <w:r w:rsidRPr="00BF3E04">
        <w:rPr>
          <w:b/>
        </w:rPr>
        <w:t xml:space="preserve"> </w:t>
      </w:r>
    </w:p>
  </w:footnote>
  <w:footnote w:id="47">
    <w:p w:rsidR="00B37854" w:rsidRPr="00BF3E04" w:rsidRDefault="00B37854" w:rsidP="003F60EF">
      <w:pPr>
        <w:pStyle w:val="FootnoteText"/>
        <w:ind w:firstLine="284"/>
      </w:pPr>
      <w:r w:rsidRPr="00BF3E04">
        <w:rPr>
          <w:rStyle w:val="FootnoteReference"/>
        </w:rPr>
        <w:footnoteRef/>
      </w:r>
      <w:r w:rsidRPr="00BF3E04">
        <w:t xml:space="preserve"> </w:t>
      </w:r>
      <w:r w:rsidRPr="00BF3E04">
        <w:rPr>
          <w:i/>
        </w:rPr>
        <w:t>Political Studies</w:t>
      </w:r>
      <w:r w:rsidRPr="00BF3E04">
        <w:t xml:space="preserve"> 53 (2005), 100–23, and chapter 8 of </w:t>
      </w:r>
      <w:r w:rsidRPr="00BF3E04">
        <w:rPr>
          <w:i/>
        </w:rPr>
        <w:t>The One and the Many</w:t>
      </w:r>
      <w:r w:rsidRPr="00BF3E04">
        <w:t>.</w:t>
      </w:r>
    </w:p>
  </w:footnote>
  <w:footnote w:id="48">
    <w:p w:rsidR="00B37854" w:rsidRPr="00BF3E04" w:rsidRDefault="00B37854" w:rsidP="003F60EF">
      <w:pPr>
        <w:pStyle w:val="NormalWeb"/>
        <w:contextualSpacing/>
      </w:pPr>
      <w:r w:rsidRPr="00BF3E04">
        <w:rPr>
          <w:rStyle w:val="FootnoteReference"/>
          <w:rFonts w:ascii="Garamond" w:hAnsi="Garamond"/>
          <w:sz w:val="22"/>
          <w:szCs w:val="22"/>
        </w:rPr>
        <w:footnoteRef/>
      </w:r>
      <w:r w:rsidRPr="00BF3E04">
        <w:rPr>
          <w:rFonts w:ascii="Garamond" w:hAnsi="Garamond"/>
          <w:sz w:val="22"/>
          <w:szCs w:val="22"/>
        </w:rPr>
        <w:t xml:space="preserve"> In his </w:t>
      </w:r>
      <w:r w:rsidRPr="00BF3E04">
        <w:rPr>
          <w:rStyle w:val="Emphasis"/>
          <w:rFonts w:ascii="Garamond" w:hAnsi="Garamond"/>
          <w:sz w:val="22"/>
          <w:szCs w:val="22"/>
        </w:rPr>
        <w:t>The End of the Peace Process</w:t>
      </w:r>
      <w:r w:rsidRPr="00BF3E04">
        <w:rPr>
          <w:rFonts w:ascii="Garamond" w:hAnsi="Garamond"/>
          <w:sz w:val="22"/>
          <w:szCs w:val="22"/>
        </w:rPr>
        <w:t xml:space="preserve"> (</w:t>
      </w:r>
      <w:smartTag w:uri="urn:schemas-microsoft-com:office:smarttags" w:element="place">
        <w:smartTag w:uri="urn:schemas-microsoft-com:office:smarttags" w:element="City">
          <w:r w:rsidRPr="00BF3E04">
            <w:rPr>
              <w:rFonts w:ascii="Garamond" w:hAnsi="Garamond"/>
              <w:sz w:val="22"/>
              <w:szCs w:val="22"/>
            </w:rPr>
            <w:t>London</w:t>
          </w:r>
        </w:smartTag>
      </w:smartTag>
      <w:r w:rsidRPr="00BF3E04">
        <w:rPr>
          <w:rFonts w:ascii="Garamond" w:hAnsi="Garamond"/>
          <w:sz w:val="22"/>
          <w:szCs w:val="22"/>
        </w:rPr>
        <w:t>: Granta Books, 2002), 216–22.</w:t>
      </w:r>
    </w:p>
  </w:footnote>
  <w:footnote w:id="49">
    <w:p w:rsidR="00B37854" w:rsidRPr="00BF3E04" w:rsidRDefault="00B37854" w:rsidP="00C5359A">
      <w:pPr>
        <w:pStyle w:val="FootnoteText"/>
        <w:ind w:firstLine="284"/>
      </w:pPr>
      <w:r w:rsidRPr="00BF3E04">
        <w:rPr>
          <w:rStyle w:val="FootnoteReference"/>
        </w:rPr>
        <w:footnoteRef/>
      </w:r>
      <w:r w:rsidRPr="00BF3E04">
        <w:t xml:space="preserve"> In his </w:t>
      </w:r>
      <w:r w:rsidRPr="00BF3E04">
        <w:rPr>
          <w:rStyle w:val="Emphasis"/>
        </w:rPr>
        <w:t>Geography of Hope: Exile, the Enlightenment, Disassimilation</w:t>
      </w:r>
      <w:r w:rsidRPr="00BF3E04">
        <w:t xml:space="preserve"> (</w:t>
      </w:r>
      <w:smartTag w:uri="urn:schemas-microsoft-com:office:smarttags" w:element="place">
        <w:smartTag w:uri="urn:schemas-microsoft-com:office:smarttags" w:element="City">
          <w:r w:rsidRPr="00BF3E04">
            <w:t>Palo Alto</w:t>
          </w:r>
        </w:smartTag>
      </w:smartTag>
      <w:r w:rsidRPr="00BF3E04">
        <w:t xml:space="preserve">, 2008: Stanford University Press), chapter 6. </w:t>
      </w:r>
    </w:p>
  </w:footnote>
  <w:footnote w:id="50">
    <w:p w:rsidR="00B37854" w:rsidRPr="00BF3E04" w:rsidRDefault="00B37854" w:rsidP="003F60EF">
      <w:pPr>
        <w:pStyle w:val="FootnoteText"/>
        <w:ind w:firstLine="284"/>
      </w:pPr>
      <w:r w:rsidRPr="00BF3E04">
        <w:rPr>
          <w:rStyle w:val="FootnoteReference"/>
        </w:rPr>
        <w:footnoteRef/>
      </w:r>
      <w:r w:rsidRPr="00BF3E04">
        <w:t xml:space="preserve"> Chapter 3 of </w:t>
      </w:r>
      <w:r w:rsidRPr="00BF3E04">
        <w:rPr>
          <w:i/>
        </w:rPr>
        <w:t>The One and the Many</w:t>
      </w:r>
      <w:r w:rsidRPr="00BF3E04">
        <w:t xml:space="preserve">. </w:t>
      </w:r>
    </w:p>
  </w:footnote>
  <w:footnote w:id="51">
    <w:p w:rsidR="00B37854" w:rsidRPr="00BF3E04" w:rsidRDefault="00B37854" w:rsidP="003F60EF">
      <w:pPr>
        <w:spacing w:line="360" w:lineRule="auto"/>
        <w:ind w:firstLine="284"/>
      </w:pPr>
      <w:r w:rsidRPr="00BF3E04">
        <w:rPr>
          <w:rStyle w:val="FootnoteReference"/>
          <w:sz w:val="22"/>
        </w:rPr>
        <w:footnoteRef/>
      </w:r>
      <w:r w:rsidRPr="00BF3E04">
        <w:rPr>
          <w:sz w:val="22"/>
        </w:rPr>
        <w:t xml:space="preserve"> </w:t>
      </w:r>
      <w:r w:rsidRPr="00BF3E04">
        <w:rPr>
          <w:rStyle w:val="Emphasis"/>
          <w:sz w:val="22"/>
        </w:rPr>
        <w:t>Dissent</w:t>
      </w:r>
      <w:r w:rsidRPr="00BF3E04">
        <w:rPr>
          <w:sz w:val="22"/>
        </w:rPr>
        <w:t xml:space="preserve"> 57 No 3 (2010), 66–72.</w:t>
      </w:r>
    </w:p>
  </w:footnote>
  <w:footnote w:id="52">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i/>
          <w:iCs/>
          <w:sz w:val="22"/>
        </w:rPr>
        <w:t>Jacob Talmon and Totalitarianism Today: Legacy and Revision</w:t>
      </w:r>
      <w:r w:rsidRPr="00BF3E04">
        <w:rPr>
          <w:sz w:val="22"/>
        </w:rPr>
        <w:t xml:space="preserve"> [</w:t>
      </w:r>
      <w:r w:rsidRPr="00BF3E04">
        <w:rPr>
          <w:rStyle w:val="Emphasis"/>
          <w:sz w:val="22"/>
        </w:rPr>
        <w:t>History of European Ideas</w:t>
      </w:r>
      <w:r w:rsidRPr="00BF3E04">
        <w:rPr>
          <w:sz w:val="22"/>
        </w:rPr>
        <w:t xml:space="preserve"> 34 No 2 (2008)], 220–38. </w:t>
      </w:r>
    </w:p>
  </w:footnote>
  <w:footnote w:id="53">
    <w:p w:rsidR="00B37854" w:rsidRPr="00BF3E04" w:rsidRDefault="00B37854" w:rsidP="003F60EF">
      <w:pPr>
        <w:spacing w:line="360" w:lineRule="auto"/>
        <w:ind w:firstLine="284"/>
      </w:pPr>
      <w:r w:rsidRPr="00BF3E04">
        <w:rPr>
          <w:rStyle w:val="FootnoteReference"/>
          <w:sz w:val="22"/>
        </w:rPr>
        <w:footnoteRef/>
      </w:r>
      <w:r w:rsidRPr="00BF3E04">
        <w:rPr>
          <w:sz w:val="22"/>
        </w:rPr>
        <w:t xml:space="preserve"> </w:t>
      </w:r>
      <w:r w:rsidRPr="00BF3E04">
        <w:rPr>
          <w:rStyle w:val="Emphasis"/>
          <w:sz w:val="22"/>
        </w:rPr>
        <w:t>Nations and Nationalism</w:t>
      </w:r>
      <w:r w:rsidRPr="00BF3E04">
        <w:rPr>
          <w:sz w:val="22"/>
        </w:rPr>
        <w:t xml:space="preserve"> 16 (2010), 559–78.</w:t>
      </w:r>
    </w:p>
  </w:footnote>
  <w:footnote w:id="54">
    <w:p w:rsidR="00B37854" w:rsidRPr="00BF3E04" w:rsidRDefault="00B37854" w:rsidP="003F60EF">
      <w:pPr>
        <w:pStyle w:val="FootnoteText"/>
        <w:ind w:firstLine="284"/>
      </w:pPr>
      <w:r w:rsidRPr="00BF3E04">
        <w:rPr>
          <w:rStyle w:val="FootnoteReference"/>
        </w:rPr>
        <w:footnoteRef/>
      </w:r>
      <w:r w:rsidRPr="00BF3E04">
        <w:t xml:space="preserve"> e.g. John Burnet, </w:t>
      </w:r>
      <w:r w:rsidRPr="00BF3E04">
        <w:rPr>
          <w:i/>
        </w:rPr>
        <w:t>Greek Philosophy, Part I: Thales to Plato</w:t>
      </w:r>
      <w:r w:rsidRPr="00BF3E04">
        <w:t xml:space="preserve"> (London, 1914: Macmillan), chapter 4, ‘The Pluralists’.</w:t>
      </w:r>
    </w:p>
  </w:footnote>
  <w:footnote w:id="55">
    <w:p w:rsidR="00B37854" w:rsidRPr="00BF3E04" w:rsidRDefault="00B37854" w:rsidP="003F60EF">
      <w:pPr>
        <w:pStyle w:val="FootnoteText"/>
        <w:ind w:firstLine="284"/>
      </w:pPr>
      <w:r w:rsidRPr="00BF3E04">
        <w:rPr>
          <w:rStyle w:val="FootnoteReference"/>
        </w:rPr>
        <w:footnoteRef/>
      </w:r>
      <w:r w:rsidRPr="00BF3E04">
        <w:t xml:space="preserve"> Lauren J. Apfel, </w:t>
      </w:r>
      <w:r w:rsidRPr="00BF3E04">
        <w:rPr>
          <w:i/>
          <w:iCs/>
        </w:rPr>
        <w:t>The Advent of Pluralism: Diversity and Conflict in the Age of Sophocles</w:t>
      </w:r>
      <w:r w:rsidRPr="00BF3E04">
        <w:t> (</w:t>
      </w:r>
      <w:smartTag w:uri="urn:schemas-microsoft-com:office:smarttags" w:element="place">
        <w:smartTag w:uri="urn:schemas-microsoft-com:office:smarttags" w:element="City">
          <w:r w:rsidRPr="00BF3E04">
            <w:t>Oxford</w:t>
          </w:r>
        </w:smartTag>
      </w:smartTag>
      <w:r w:rsidRPr="00BF3E04">
        <w:t>, 2011: Clarendon Press).</w:t>
      </w:r>
    </w:p>
  </w:footnote>
  <w:footnote w:id="56">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Orlando Figes, </w:t>
      </w:r>
      <w:r w:rsidRPr="00BF3E04">
        <w:rPr>
          <w:i/>
          <w:sz w:val="22"/>
        </w:rPr>
        <w:t xml:space="preserve">Natasha’s Dance. A Cultural History of </w:t>
      </w:r>
      <w:smartTag w:uri="urn:schemas-microsoft-com:office:smarttags" w:element="country-region">
        <w:r w:rsidRPr="00BF3E04">
          <w:rPr>
            <w:i/>
            <w:sz w:val="22"/>
          </w:rPr>
          <w:t>Russia</w:t>
        </w:r>
      </w:smartTag>
      <w:r w:rsidRPr="00BF3E04">
        <w:rPr>
          <w:sz w:val="22"/>
        </w:rPr>
        <w:t xml:space="preserve"> (</w:t>
      </w:r>
      <w:smartTag w:uri="urn:schemas-microsoft-com:office:smarttags" w:element="place">
        <w:smartTag w:uri="urn:schemas-microsoft-com:office:smarttags" w:element="City">
          <w:r w:rsidRPr="00BF3E04">
            <w:rPr>
              <w:sz w:val="22"/>
            </w:rPr>
            <w:t>London</w:t>
          </w:r>
        </w:smartTag>
      </w:smartTag>
      <w:r w:rsidRPr="00BF3E04">
        <w:rPr>
          <w:sz w:val="22"/>
        </w:rPr>
        <w:t xml:space="preserve">, 2002: </w:t>
      </w:r>
      <w:smartTag w:uri="urn:schemas-microsoft-com:office:smarttags" w:element="address">
        <w:smartTag w:uri="urn:schemas-microsoft-com:office:smarttags" w:element="Street">
          <w:r w:rsidRPr="00BF3E04">
            <w:rPr>
              <w:sz w:val="22"/>
            </w:rPr>
            <w:t>Allen Lane</w:t>
          </w:r>
        </w:smartTag>
      </w:smartTag>
      <w:r w:rsidRPr="00BF3E04">
        <w:rPr>
          <w:sz w:val="22"/>
        </w:rPr>
        <w:t>), 667–8.</w:t>
      </w:r>
    </w:p>
  </w:footnote>
  <w:footnote w:id="57">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smartTag w:uri="urn:schemas-microsoft-com:office:smarttags" w:element="place">
        <w:smartTag w:uri="urn:schemas-microsoft-com:office:smarttags" w:element="City">
          <w:r w:rsidRPr="00BF3E04">
            <w:rPr>
              <w:sz w:val="22"/>
            </w:rPr>
            <w:t>Dordrecht</w:t>
          </w:r>
        </w:smartTag>
      </w:smartTag>
      <w:r w:rsidRPr="00BF3E04">
        <w:rPr>
          <w:sz w:val="22"/>
        </w:rPr>
        <w:t>, 2005: Springer. See 169–70, 188.</w:t>
      </w:r>
    </w:p>
  </w:footnote>
  <w:footnote w:id="58">
    <w:p w:rsidR="00B37854" w:rsidRPr="00BF3E04" w:rsidRDefault="00B37854" w:rsidP="00C5359A">
      <w:pPr>
        <w:spacing w:line="360" w:lineRule="auto"/>
        <w:ind w:firstLine="284"/>
        <w:contextualSpacing/>
      </w:pPr>
      <w:r w:rsidRPr="00BF3E04">
        <w:rPr>
          <w:rStyle w:val="FootnoteReference"/>
          <w:sz w:val="22"/>
        </w:rPr>
        <w:footnoteRef/>
      </w:r>
      <w:r w:rsidRPr="00BF3E04">
        <w:rPr>
          <w:sz w:val="22"/>
        </w:rPr>
        <w:t xml:space="preserve"> </w:t>
      </w:r>
      <w:smartTag w:uri="urn:schemas-microsoft-com:office:smarttags" w:element="place">
        <w:smartTag w:uri="urn:schemas-microsoft-com:office:smarttags" w:element="City">
          <w:r w:rsidRPr="00BF3E04">
            <w:rPr>
              <w:rStyle w:val="Emphasis"/>
              <w:sz w:val="22"/>
            </w:rPr>
            <w:t>Toronto</w:t>
          </w:r>
        </w:smartTag>
      </w:smartTag>
      <w:r w:rsidRPr="00BF3E04">
        <w:rPr>
          <w:rStyle w:val="Emphasis"/>
          <w:sz w:val="22"/>
        </w:rPr>
        <w:t xml:space="preserve"> Slavic Quarterly</w:t>
      </w:r>
      <w:r w:rsidRPr="00BF3E04">
        <w:rPr>
          <w:sz w:val="22"/>
        </w:rPr>
        <w:t xml:space="preserve"> No 19 (Winter 2007). Online at &lt;http://</w:t>
      </w:r>
      <w:r w:rsidR="00C5359A">
        <w:rPr>
          <w:sz w:val="22"/>
        </w:rPr>
        <w:t>sites</w:t>
      </w:r>
      <w:r w:rsidRPr="00BF3E04">
        <w:rPr>
          <w:sz w:val="22"/>
        </w:rPr>
        <w:t>.utoronto.ca/tsq/19/offord19.shtml &gt;.</w:t>
      </w:r>
    </w:p>
  </w:footnote>
  <w:footnote w:id="59">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i/>
          <w:sz w:val="22"/>
        </w:rPr>
        <w:t>Transactions of the American Philosophical Society</w:t>
      </w:r>
      <w:r w:rsidRPr="00BF3E04">
        <w:rPr>
          <w:sz w:val="22"/>
        </w:rPr>
        <w:t xml:space="preserve"> 93 No 3 (2003). </w:t>
      </w:r>
    </w:p>
  </w:footnote>
  <w:footnote w:id="60">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i/>
          <w:sz w:val="22"/>
        </w:rPr>
        <w:t>Review of Politics</w:t>
      </w:r>
      <w:r w:rsidRPr="00BF3E04">
        <w:rPr>
          <w:sz w:val="22"/>
        </w:rPr>
        <w:t xml:space="preserve"> 62 (2000), 267–93.</w:t>
      </w:r>
    </w:p>
  </w:footnote>
  <w:footnote w:id="61">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rStyle w:val="Emphasis"/>
          <w:sz w:val="22"/>
        </w:rPr>
        <w:t>History of Political Thought</w:t>
      </w:r>
      <w:r w:rsidRPr="00BF3E04">
        <w:rPr>
          <w:sz w:val="22"/>
        </w:rPr>
        <w:t xml:space="preserve"> 31 (2010), 657–89.</w:t>
      </w:r>
    </w:p>
  </w:footnote>
  <w:footnote w:id="62">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i/>
          <w:sz w:val="22"/>
        </w:rPr>
        <w:t>Review of Politics</w:t>
      </w:r>
      <w:r w:rsidRPr="00BF3E04">
        <w:rPr>
          <w:sz w:val="22"/>
        </w:rPr>
        <w:t xml:space="preserve"> 69 (2007), 79–105.</w:t>
      </w:r>
    </w:p>
  </w:footnote>
  <w:footnote w:id="63">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Chicago/London, 2002: </w:t>
      </w:r>
      <w:smartTag w:uri="urn:schemas-microsoft-com:office:smarttags" w:element="place">
        <w:smartTag w:uri="urn:schemas-microsoft-com:office:smarttags" w:element="PlaceType">
          <w:r w:rsidRPr="00BF3E04">
            <w:rPr>
              <w:sz w:val="22"/>
            </w:rPr>
            <w:t>University</w:t>
          </w:r>
        </w:smartTag>
        <w:r w:rsidRPr="00BF3E04">
          <w:rPr>
            <w:sz w:val="22"/>
          </w:rPr>
          <w:t xml:space="preserve"> of </w:t>
        </w:r>
        <w:smartTag w:uri="urn:schemas-microsoft-com:office:smarttags" w:element="PlaceName">
          <w:r w:rsidRPr="00BF3E04">
            <w:rPr>
              <w:sz w:val="22"/>
            </w:rPr>
            <w:t>Chicago</w:t>
          </w:r>
        </w:smartTag>
      </w:smartTag>
      <w:r w:rsidRPr="00BF3E04">
        <w:rPr>
          <w:sz w:val="22"/>
        </w:rPr>
        <w:t xml:space="preserve"> Press. See 6, 201–2.</w:t>
      </w:r>
    </w:p>
  </w:footnote>
  <w:footnote w:id="64">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rStyle w:val="Emphasis"/>
          <w:sz w:val="22"/>
        </w:rPr>
        <w:t>Journal of the History of Ideas</w:t>
      </w:r>
      <w:r w:rsidRPr="00BF3E04">
        <w:rPr>
          <w:sz w:val="22"/>
        </w:rPr>
        <w:t xml:space="preserve"> 68 (2007), 635–58.</w:t>
      </w:r>
    </w:p>
  </w:footnote>
  <w:footnote w:id="65">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rStyle w:val="Emphasis"/>
          <w:sz w:val="22"/>
        </w:rPr>
        <w:t>ibid.</w:t>
      </w:r>
      <w:r w:rsidRPr="00BF3E04">
        <w:rPr>
          <w:sz w:val="22"/>
        </w:rPr>
        <w:t xml:space="preserve"> 659–81.</w:t>
      </w:r>
    </w:p>
  </w:footnote>
  <w:footnote w:id="66">
    <w:p w:rsidR="00B37854" w:rsidRPr="00BF3E04" w:rsidRDefault="00B37854" w:rsidP="003F60EF">
      <w:pPr>
        <w:pStyle w:val="FootnoteText"/>
        <w:ind w:firstLine="284"/>
      </w:pPr>
      <w:r w:rsidRPr="00BF3E04">
        <w:rPr>
          <w:rStyle w:val="FootnoteReference"/>
        </w:rPr>
        <w:footnoteRef/>
      </w:r>
      <w:r w:rsidRPr="00BF3E04">
        <w:t xml:space="preserve"> </w:t>
      </w:r>
      <w:r w:rsidRPr="00BF3E04">
        <w:rPr>
          <w:i/>
        </w:rPr>
        <w:t>Journal of the History of Ideas</w:t>
      </w:r>
      <w:r w:rsidRPr="00BF3E04">
        <w:t xml:space="preserve"> 69 (2008), 339–47. </w:t>
      </w:r>
    </w:p>
  </w:footnote>
  <w:footnote w:id="67">
    <w:p w:rsidR="00B37854" w:rsidRPr="00BF3E04" w:rsidRDefault="00B37854" w:rsidP="003F60EF">
      <w:pPr>
        <w:pStyle w:val="FootnoteText"/>
        <w:ind w:firstLine="284"/>
      </w:pPr>
      <w:r w:rsidRPr="00BF3E04">
        <w:rPr>
          <w:rStyle w:val="FootnoteReference"/>
        </w:rPr>
        <w:footnoteRef/>
      </w:r>
      <w:r w:rsidRPr="00BF3E04">
        <w:t xml:space="preserve"> Trans. David Maisel (</w:t>
      </w:r>
      <w:smartTag w:uri="urn:schemas-microsoft-com:office:smarttags" w:element="City">
        <w:r w:rsidRPr="00BF3E04">
          <w:t>New Haven</w:t>
        </w:r>
      </w:smartTag>
      <w:r w:rsidRPr="00BF3E04">
        <w:t xml:space="preserve">, 2010: </w:t>
      </w:r>
      <w:smartTag w:uri="urn:schemas-microsoft-com:office:smarttags" w:element="place">
        <w:smartTag w:uri="urn:schemas-microsoft-com:office:smarttags" w:element="PlaceName">
          <w:r w:rsidRPr="00BF3E04">
            <w:t>Yale</w:t>
          </w:r>
        </w:smartTag>
        <w:r w:rsidRPr="00BF3E04">
          <w:t xml:space="preserve"> </w:t>
        </w:r>
        <w:smartTag w:uri="urn:schemas-microsoft-com:office:smarttags" w:element="PlaceType">
          <w:r w:rsidRPr="00BF3E04">
            <w:t>University</w:t>
          </w:r>
        </w:smartTag>
      </w:smartTag>
      <w:r w:rsidRPr="00BF3E04">
        <w:t xml:space="preserve"> Press). Originally published in French in 2006.</w:t>
      </w:r>
    </w:p>
  </w:footnote>
  <w:footnote w:id="68">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rStyle w:val="Emphasis"/>
          <w:sz w:val="22"/>
        </w:rPr>
        <w:t>Contemporary Political Theory</w:t>
      </w:r>
      <w:r w:rsidRPr="00BF3E04">
        <w:rPr>
          <w:sz w:val="22"/>
        </w:rPr>
        <w:t xml:space="preserve"> 8 (2009), 295–316.</w:t>
      </w:r>
    </w:p>
  </w:footnote>
  <w:footnote w:id="69">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‘Masks of Freedom: An Examination of Isaiah </w:t>
      </w:r>
      <w:smartTag w:uri="urn:schemas-microsoft-com:office:smarttags" w:element="place">
        <w:smartTag w:uri="urn:schemas-microsoft-com:office:smarttags" w:element="State">
          <w:r w:rsidRPr="00BF3E04">
            <w:rPr>
              <w:sz w:val="22"/>
            </w:rPr>
            <w:t>Berlin</w:t>
          </w:r>
        </w:smartTag>
      </w:smartTag>
      <w:r w:rsidRPr="00BF3E04">
        <w:rPr>
          <w:sz w:val="22"/>
        </w:rPr>
        <w:t xml:space="preserve">’s Ideas on Freedom and Their Implications for Public Administration’, </w:t>
      </w:r>
      <w:r w:rsidRPr="00BF3E04">
        <w:rPr>
          <w:i/>
          <w:sz w:val="22"/>
        </w:rPr>
        <w:t>Administrative Theory and Praxis</w:t>
      </w:r>
      <w:r w:rsidRPr="00BF3E04">
        <w:rPr>
          <w:sz w:val="22"/>
        </w:rPr>
        <w:t>, 25 (2003), 545–88.</w:t>
      </w:r>
    </w:p>
  </w:footnote>
  <w:footnote w:id="70">
    <w:p w:rsidR="00B37854" w:rsidRPr="00BF3E04" w:rsidRDefault="00B37854" w:rsidP="003F60EF">
      <w:pPr>
        <w:pStyle w:val="FootnoteText"/>
        <w:ind w:firstLine="284"/>
      </w:pPr>
      <w:r w:rsidRPr="00BF3E04">
        <w:rPr>
          <w:rStyle w:val="FootnoteReference"/>
        </w:rPr>
        <w:footnoteRef/>
      </w:r>
      <w:r w:rsidRPr="00BF3E04">
        <w:t xml:space="preserve"> In </w:t>
      </w:r>
      <w:r w:rsidRPr="00BF3E04">
        <w:rPr>
          <w:i/>
        </w:rPr>
        <w:t>The One and the Many</w:t>
      </w:r>
      <w:r w:rsidRPr="00BF3E04">
        <w:t xml:space="preserve">, chapter 10. </w:t>
      </w:r>
    </w:p>
  </w:footnote>
  <w:footnote w:id="71">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i/>
          <w:sz w:val="22"/>
        </w:rPr>
        <w:t>Cultural Diversity, Liberal Pluralism and Schools</w:t>
      </w:r>
      <w:r w:rsidRPr="00BF3E04">
        <w:rPr>
          <w:sz w:val="22"/>
        </w:rPr>
        <w:t xml:space="preserve"> (</w:t>
      </w:r>
      <w:smartTag w:uri="urn:schemas-microsoft-com:office:smarttags" w:element="City">
        <w:smartTag w:uri="urn:schemas-microsoft-com:office:smarttags" w:element="place">
          <w:r w:rsidRPr="00BF3E04">
            <w:rPr>
              <w:sz w:val="22"/>
            </w:rPr>
            <w:t>London</w:t>
          </w:r>
        </w:smartTag>
      </w:smartTag>
      <w:r w:rsidRPr="00BF3E04">
        <w:rPr>
          <w:sz w:val="22"/>
        </w:rPr>
        <w:t xml:space="preserve">, 2006: Routledge). Cf. id., ‘Must Liberal Support for Separate Schools Be Subject to a Condition of Individual Autonomy?’, </w:t>
      </w:r>
      <w:r w:rsidRPr="00BF3E04">
        <w:rPr>
          <w:i/>
          <w:sz w:val="22"/>
        </w:rPr>
        <w:t>British Journal of Educational Studies</w:t>
      </w:r>
      <w:r w:rsidRPr="00BF3E04">
        <w:rPr>
          <w:sz w:val="22"/>
        </w:rPr>
        <w:t xml:space="preserve"> 48 (2000), 269–84.</w:t>
      </w:r>
    </w:p>
  </w:footnote>
  <w:footnote w:id="72">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i/>
          <w:sz w:val="22"/>
        </w:rPr>
        <w:t>Independent</w:t>
      </w:r>
      <w:r w:rsidRPr="00BF3E04">
        <w:rPr>
          <w:sz w:val="22"/>
        </w:rPr>
        <w:t>, 28 May 2009, ‘Independent Life’, 14–15.</w:t>
      </w:r>
    </w:p>
  </w:footnote>
  <w:footnote w:id="73">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i/>
          <w:sz w:val="22"/>
        </w:rPr>
        <w:t>Guardian</w:t>
      </w:r>
      <w:r w:rsidRPr="00BF3E04">
        <w:rPr>
          <w:sz w:val="22"/>
        </w:rPr>
        <w:t>, 14 April 2004, 20.</w:t>
      </w:r>
    </w:p>
  </w:footnote>
  <w:footnote w:id="74">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i/>
          <w:sz w:val="22"/>
        </w:rPr>
        <w:t>Social Research</w:t>
      </w:r>
      <w:r w:rsidRPr="00BF3E04">
        <w:rPr>
          <w:sz w:val="22"/>
        </w:rPr>
        <w:t xml:space="preserve"> 67 (2000), 1117–35. </w:t>
      </w:r>
    </w:p>
  </w:footnote>
  <w:footnote w:id="75">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Bexhill on Sea, 2004: Egerton House.</w:t>
      </w:r>
    </w:p>
  </w:footnote>
  <w:footnote w:id="76">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smartTag w:uri="urn:schemas-microsoft-com:office:smarttags" w:element="City">
        <w:r w:rsidRPr="00BF3E04">
          <w:rPr>
            <w:sz w:val="22"/>
          </w:rPr>
          <w:t>Amsterdam</w:t>
        </w:r>
      </w:smartTag>
      <w:r w:rsidRPr="00BF3E04">
        <w:rPr>
          <w:sz w:val="22"/>
        </w:rPr>
        <w:t xml:space="preserve"> and </w:t>
      </w:r>
      <w:smartTag w:uri="urn:schemas-microsoft-com:office:smarttags" w:element="State">
        <w:smartTag w:uri="urn:schemas-microsoft-com:office:smarttags" w:element="place">
          <w:r w:rsidRPr="00BF3E04">
            <w:rPr>
              <w:sz w:val="22"/>
            </w:rPr>
            <w:t>New York</w:t>
          </w:r>
        </w:smartTag>
      </w:smartTag>
      <w:r w:rsidRPr="00BF3E04">
        <w:rPr>
          <w:sz w:val="22"/>
        </w:rPr>
        <w:t>, 2006: Rodopi.</w:t>
      </w:r>
    </w:p>
  </w:footnote>
  <w:footnote w:id="77">
    <w:p w:rsidR="00B37854" w:rsidRPr="00BF3E04" w:rsidRDefault="00B37854" w:rsidP="003F60EF">
      <w:pPr>
        <w:pStyle w:val="FootnoteText"/>
        <w:ind w:firstLine="284"/>
      </w:pPr>
      <w:r w:rsidRPr="00BF3E04">
        <w:rPr>
          <w:rStyle w:val="FootnoteReference"/>
        </w:rPr>
        <w:footnoteRef/>
      </w:r>
      <w:r w:rsidRPr="00BF3E04">
        <w:t xml:space="preserve"> In W. R. Louis (ed.), </w:t>
      </w:r>
      <w:r w:rsidRPr="00BF3E04">
        <w:rPr>
          <w:i/>
        </w:rPr>
        <w:t>Still More Adventures with Britannia</w:t>
      </w:r>
      <w:r w:rsidRPr="00BF3E04">
        <w:t xml:space="preserve"> (London/Texas, 2003: I. B. Tauris/</w:t>
      </w:r>
      <w:smartTag w:uri="urn:schemas-microsoft-com:office:smarttags" w:element="place">
        <w:smartTag w:uri="urn:schemas-microsoft-com:office:smarttags" w:element="PlaceName">
          <w:r w:rsidRPr="00BF3E04">
            <w:t>Harry</w:t>
          </w:r>
        </w:smartTag>
        <w:r w:rsidRPr="00BF3E04">
          <w:t xml:space="preserve"> </w:t>
        </w:r>
        <w:smartTag w:uri="urn:schemas-microsoft-com:office:smarttags" w:element="PlaceName">
          <w:r w:rsidRPr="00BF3E04">
            <w:t>Ransom</w:t>
          </w:r>
        </w:smartTag>
        <w:r w:rsidRPr="00BF3E04">
          <w:t xml:space="preserve"> </w:t>
        </w:r>
        <w:smartTag w:uri="urn:schemas-microsoft-com:office:smarttags" w:element="PlaceName">
          <w:r w:rsidRPr="00BF3E04">
            <w:t>Humanities</w:t>
          </w:r>
        </w:smartTag>
        <w:r w:rsidRPr="00BF3E04">
          <w:t xml:space="preserve"> </w:t>
        </w:r>
        <w:smartTag w:uri="urn:schemas-microsoft-com:office:smarttags" w:element="PlaceName">
          <w:r w:rsidRPr="00BF3E04">
            <w:t>Research</w:t>
          </w:r>
        </w:smartTag>
        <w:r w:rsidRPr="00BF3E04">
          <w:t xml:space="preserve"> </w:t>
        </w:r>
        <w:smartTag w:uri="urn:schemas-microsoft-com:office:smarttags" w:element="PlaceType">
          <w:r w:rsidRPr="00BF3E04">
            <w:t>Center</w:t>
          </w:r>
        </w:smartTag>
      </w:smartTag>
      <w:r w:rsidRPr="00BF3E04">
        <w:t>), 175–94.</w:t>
      </w:r>
    </w:p>
  </w:footnote>
  <w:footnote w:id="78">
    <w:p w:rsidR="00B37854" w:rsidRPr="00BF3E04" w:rsidRDefault="00B37854" w:rsidP="003F60EF">
      <w:pPr>
        <w:pStyle w:val="FootnoteText"/>
        <w:ind w:firstLine="284"/>
      </w:pPr>
      <w:r w:rsidRPr="00BF3E04">
        <w:rPr>
          <w:rStyle w:val="FootnoteReference"/>
        </w:rPr>
        <w:footnoteRef/>
      </w:r>
      <w:r w:rsidRPr="00BF3E04">
        <w:t xml:space="preserve"> In Edward N. Zalta and others (eds), </w:t>
      </w:r>
      <w:r w:rsidRPr="00BF3E04">
        <w:rPr>
          <w:i/>
        </w:rPr>
        <w:t>Stanford Encyclopedia of Philosophy</w:t>
      </w:r>
      <w:r w:rsidRPr="00BF3E04">
        <w:t>, at &lt;http://plato.stanford.edu/entries/berlin/&gt;.</w:t>
      </w:r>
    </w:p>
  </w:footnote>
  <w:footnote w:id="79">
    <w:p w:rsidR="00B37854" w:rsidRPr="00BF3E04" w:rsidRDefault="00B37854" w:rsidP="003F60EF">
      <w:pPr>
        <w:spacing w:line="360" w:lineRule="auto"/>
        <w:ind w:firstLine="284"/>
        <w:contextualSpacing/>
      </w:pPr>
      <w:r w:rsidRPr="00BF3E04">
        <w:rPr>
          <w:rStyle w:val="FootnoteReference"/>
        </w:rPr>
        <w:footnoteRef/>
      </w:r>
      <w:r w:rsidRPr="00BF3E04">
        <w:rPr>
          <w:sz w:val="22"/>
        </w:rPr>
        <w:t xml:space="preserve"> </w:t>
      </w:r>
      <w:r w:rsidRPr="00BF3E04">
        <w:rPr>
          <w:rStyle w:val="Emphasis"/>
          <w:sz w:val="22"/>
        </w:rPr>
        <w:t>Journal of the History of Ideas</w:t>
      </w:r>
      <w:r w:rsidRPr="00BF3E04">
        <w:rPr>
          <w:sz w:val="22"/>
        </w:rPr>
        <w:t xml:space="preserve"> 66 (2005), 99–112.</w:t>
      </w:r>
    </w:p>
  </w:footnote>
  <w:footnote w:id="80">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rStyle w:val="Emphasis"/>
          <w:sz w:val="22"/>
        </w:rPr>
        <w:t>Political Theory</w:t>
      </w:r>
      <w:r w:rsidRPr="00BF3E04">
        <w:rPr>
          <w:sz w:val="22"/>
        </w:rPr>
        <w:t xml:space="preserve"> 31 (2003), 484–507.</w:t>
      </w:r>
    </w:p>
  </w:footnote>
  <w:footnote w:id="81">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Ed. Geoffrey Hawthorn (Princeton, 2005: </w:t>
      </w:r>
      <w:smartTag w:uri="urn:schemas-microsoft-com:office:smarttags" w:element="place">
        <w:smartTag w:uri="urn:schemas-microsoft-com:office:smarttags" w:element="PlaceName">
          <w:r w:rsidRPr="00BF3E04">
            <w:rPr>
              <w:sz w:val="22"/>
            </w:rPr>
            <w:t>Princeton</w:t>
          </w:r>
        </w:smartTag>
        <w:r w:rsidRPr="00BF3E04">
          <w:rPr>
            <w:sz w:val="22"/>
          </w:rPr>
          <w:t xml:space="preserve"> </w:t>
        </w:r>
        <w:smartTag w:uri="urn:schemas-microsoft-com:office:smarttags" w:element="PlaceType">
          <w:r w:rsidRPr="00BF3E04">
            <w:rPr>
              <w:sz w:val="22"/>
            </w:rPr>
            <w:t>University</w:t>
          </w:r>
        </w:smartTag>
      </w:smartTag>
      <w:r w:rsidRPr="00BF3E04">
        <w:rPr>
          <w:sz w:val="22"/>
        </w:rPr>
        <w:t xml:space="preserve"> Press).</w:t>
      </w:r>
    </w:p>
  </w:footnote>
  <w:footnote w:id="82">
    <w:p w:rsidR="00B37854" w:rsidRPr="00BF3E04" w:rsidRDefault="00B37854" w:rsidP="003F60EF">
      <w:pPr>
        <w:pStyle w:val="FootnoteText"/>
        <w:ind w:firstLine="284"/>
      </w:pPr>
      <w:r w:rsidRPr="00BF3E04">
        <w:rPr>
          <w:rStyle w:val="FootnoteReference"/>
        </w:rPr>
        <w:footnoteRef/>
      </w:r>
      <w:r w:rsidRPr="00BF3E04">
        <w:t xml:space="preserve"> </w:t>
      </w:r>
      <w:r w:rsidRPr="00BF3E04">
        <w:rPr>
          <w:i/>
        </w:rPr>
        <w:t>American Political Science Review</w:t>
      </w:r>
      <w:r w:rsidRPr="00BF3E04">
        <w:t xml:space="preserve"> 95 (2001), 283–95. </w:t>
      </w:r>
    </w:p>
  </w:footnote>
  <w:footnote w:id="83">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rStyle w:val="Emphasis"/>
          <w:sz w:val="22"/>
        </w:rPr>
        <w:t>British Journal of Politics and International Relations</w:t>
      </w:r>
      <w:r w:rsidRPr="00BF3E04">
        <w:rPr>
          <w:sz w:val="22"/>
        </w:rPr>
        <w:t xml:space="preserve"> 4 (2002), 25–48.</w:t>
      </w:r>
    </w:p>
  </w:footnote>
  <w:footnote w:id="84">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i/>
          <w:sz w:val="22"/>
        </w:rPr>
        <w:t>Review of Politics</w:t>
      </w:r>
      <w:r w:rsidRPr="00BF3E04">
        <w:rPr>
          <w:sz w:val="22"/>
        </w:rPr>
        <w:t xml:space="preserve"> 71 (2009), 85–99. </w:t>
      </w:r>
    </w:p>
  </w:footnote>
  <w:footnote w:id="85">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i/>
          <w:sz w:val="22"/>
        </w:rPr>
        <w:t>American Political Science Review</w:t>
      </w:r>
      <w:r w:rsidRPr="00BF3E04">
        <w:rPr>
          <w:sz w:val="22"/>
        </w:rPr>
        <w:t xml:space="preserve"> 98 (2004), 327–39. </w:t>
      </w:r>
    </w:p>
  </w:footnote>
  <w:footnote w:id="86">
    <w:p w:rsidR="00B37854" w:rsidRPr="00BF3E04" w:rsidRDefault="00B37854" w:rsidP="003F60EF">
      <w:pPr>
        <w:spacing w:line="360" w:lineRule="auto"/>
        <w:ind w:firstLine="284"/>
        <w:contextualSpacing/>
      </w:pPr>
      <w:r w:rsidRPr="00BF3E04">
        <w:rPr>
          <w:rStyle w:val="FootnoteReference"/>
          <w:sz w:val="22"/>
        </w:rPr>
        <w:footnoteRef/>
      </w:r>
      <w:r w:rsidRPr="00BF3E04">
        <w:rPr>
          <w:sz w:val="22"/>
        </w:rPr>
        <w:t xml:space="preserve"> </w:t>
      </w:r>
      <w:r w:rsidRPr="00BF3E04">
        <w:rPr>
          <w:i/>
          <w:sz w:val="22"/>
        </w:rPr>
        <w:t>History and Theory</w:t>
      </w:r>
      <w:r w:rsidRPr="00BF3E04">
        <w:rPr>
          <w:sz w:val="22"/>
        </w:rPr>
        <w:t xml:space="preserve"> 41 (2002), 277–300. </w:t>
      </w:r>
    </w:p>
  </w:footnote>
  <w:footnote w:id="87">
    <w:p w:rsidR="00B37854" w:rsidRPr="00BF3E04" w:rsidRDefault="00B37854" w:rsidP="003F60EF">
      <w:pPr>
        <w:spacing w:line="360" w:lineRule="auto"/>
        <w:ind w:firstLine="284"/>
        <w:contextualSpacing/>
      </w:pPr>
      <w:r w:rsidRPr="00BF3E04">
        <w:rPr>
          <w:rStyle w:val="FootnoteReference"/>
        </w:rPr>
        <w:footnoteRef/>
      </w:r>
      <w:r w:rsidRPr="00BF3E04">
        <w:rPr>
          <w:sz w:val="22"/>
        </w:rPr>
        <w:t xml:space="preserve"> </w:t>
      </w:r>
      <w:r w:rsidRPr="00BF3E04">
        <w:rPr>
          <w:i/>
          <w:sz w:val="22"/>
        </w:rPr>
        <w:t xml:space="preserve">The Book of Isaiah: Personal Impressions of Isaiah </w:t>
      </w:r>
      <w:smartTag w:uri="urn:schemas-microsoft-com:office:smarttags" w:element="State">
        <w:r w:rsidRPr="00BF3E04">
          <w:rPr>
            <w:i/>
            <w:sz w:val="22"/>
          </w:rPr>
          <w:t>Berlin</w:t>
        </w:r>
      </w:smartTag>
      <w:r w:rsidRPr="00BF3E04">
        <w:rPr>
          <w:sz w:val="22"/>
        </w:rPr>
        <w:t xml:space="preserve"> (</w:t>
      </w:r>
      <w:smartTag w:uri="urn:schemas-microsoft-com:office:smarttags" w:element="City">
        <w:r w:rsidRPr="00BF3E04">
          <w:rPr>
            <w:sz w:val="22"/>
          </w:rPr>
          <w:t>Woodbridge</w:t>
        </w:r>
      </w:smartTag>
      <w:r w:rsidRPr="00BF3E04">
        <w:rPr>
          <w:sz w:val="22"/>
        </w:rPr>
        <w:t xml:space="preserve">, 2009: The Boydell Press in association with </w:t>
      </w:r>
      <w:smartTag w:uri="urn:schemas-microsoft-com:office:smarttags" w:element="PlaceName">
        <w:r w:rsidRPr="00BF3E04">
          <w:rPr>
            <w:sz w:val="22"/>
          </w:rPr>
          <w:t>Wolfson</w:t>
        </w:r>
      </w:smartTag>
      <w:r w:rsidRPr="00BF3E04">
        <w:rPr>
          <w:sz w:val="22"/>
        </w:rPr>
        <w:t xml:space="preserve"> </w:t>
      </w:r>
      <w:smartTag w:uri="urn:schemas-microsoft-com:office:smarttags" w:element="PlaceType">
        <w:r w:rsidRPr="00BF3E04">
          <w:rPr>
            <w:sz w:val="22"/>
          </w:rPr>
          <w:t>College</w:t>
        </w:r>
      </w:smartTag>
      <w:r w:rsidRPr="00BF3E04">
        <w:rPr>
          <w:sz w:val="22"/>
        </w:rPr>
        <w:t xml:space="preserve">, </w:t>
      </w:r>
      <w:smartTag w:uri="urn:schemas-microsoft-com:office:smarttags" w:element="City">
        <w:smartTag w:uri="urn:schemas-microsoft-com:office:smarttags" w:element="place">
          <w:r w:rsidRPr="00BF3E04">
            <w:rPr>
              <w:sz w:val="22"/>
            </w:rPr>
            <w:t>Oxford</w:t>
          </w:r>
        </w:smartTag>
      </w:smartTag>
      <w:r w:rsidRPr="00BF3E04">
        <w:rPr>
          <w:sz w:val="22"/>
        </w:rPr>
        <w:t>).</w:t>
      </w:r>
    </w:p>
  </w:footnote>
  <w:footnote w:id="88">
    <w:p w:rsidR="00B37854" w:rsidRPr="00BF3E04" w:rsidRDefault="00B37854" w:rsidP="003F60EF">
      <w:pPr>
        <w:spacing w:line="360" w:lineRule="auto"/>
        <w:ind w:firstLine="284"/>
        <w:contextualSpacing/>
      </w:pPr>
      <w:r w:rsidRPr="00BF3E04">
        <w:rPr>
          <w:rStyle w:val="FootnoteReference"/>
        </w:rPr>
        <w:footnoteRef/>
      </w:r>
      <w:r w:rsidRPr="00BF3E04">
        <w:rPr>
          <w:sz w:val="22"/>
        </w:rPr>
        <w:t xml:space="preserve"> </w:t>
      </w:r>
      <w:r w:rsidRPr="00BF3E04">
        <w:rPr>
          <w:i/>
          <w:sz w:val="22"/>
        </w:rPr>
        <w:t>A Memoir: People and Places</w:t>
      </w:r>
      <w:r w:rsidRPr="00BF3E04">
        <w:rPr>
          <w:sz w:val="22"/>
        </w:rPr>
        <w:t xml:space="preserve"> (</w:t>
      </w:r>
      <w:smartTag w:uri="urn:schemas-microsoft-com:office:smarttags" w:element="City">
        <w:smartTag w:uri="urn:schemas-microsoft-com:office:smarttags" w:element="place">
          <w:r w:rsidRPr="00BF3E04">
            <w:rPr>
              <w:sz w:val="22"/>
            </w:rPr>
            <w:t>London</w:t>
          </w:r>
        </w:smartTag>
      </w:smartTag>
      <w:r w:rsidRPr="00BF3E04">
        <w:rPr>
          <w:sz w:val="22"/>
        </w:rPr>
        <w:t>, 2000: Duckworth).</w:t>
      </w:r>
    </w:p>
  </w:footnote>
  <w:footnote w:id="89">
    <w:p w:rsidR="00B37854" w:rsidRPr="00BF3E04" w:rsidRDefault="00B37854" w:rsidP="003F60EF">
      <w:pPr>
        <w:spacing w:line="360" w:lineRule="auto"/>
        <w:ind w:firstLine="284"/>
        <w:contextualSpacing/>
      </w:pPr>
      <w:r w:rsidRPr="00BF3E04">
        <w:rPr>
          <w:rStyle w:val="FootnoteReference"/>
        </w:rPr>
        <w:footnoteRef/>
      </w:r>
      <w:r w:rsidRPr="00BF3E04">
        <w:rPr>
          <w:sz w:val="22"/>
        </w:rPr>
        <w:t xml:space="preserve"> </w:t>
      </w:r>
      <w:r w:rsidRPr="00BF3E04">
        <w:rPr>
          <w:rStyle w:val="HTMLCite"/>
          <w:sz w:val="22"/>
        </w:rPr>
        <w:t>A Life of H. L. A. Hart: The Nightmare and the Noble Dream</w:t>
      </w:r>
      <w:r w:rsidRPr="00BF3E04">
        <w:rPr>
          <w:sz w:val="22"/>
        </w:rPr>
        <w:t xml:space="preserve"> (</w:t>
      </w:r>
      <w:smartTag w:uri="urn:schemas-microsoft-com:office:smarttags" w:element="City">
        <w:r w:rsidRPr="00BF3E04">
          <w:rPr>
            <w:sz w:val="22"/>
          </w:rPr>
          <w:t>Oxford</w:t>
        </w:r>
      </w:smartTag>
      <w:r w:rsidRPr="00BF3E04">
        <w:rPr>
          <w:sz w:val="22"/>
        </w:rPr>
        <w:t xml:space="preserve">, 2004: </w:t>
      </w:r>
      <w:smartTag w:uri="urn:schemas-microsoft-com:office:smarttags" w:element="place">
        <w:smartTag w:uri="urn:schemas-microsoft-com:office:smarttags" w:element="PlaceName">
          <w:r w:rsidRPr="00BF3E04">
            <w:rPr>
              <w:sz w:val="22"/>
            </w:rPr>
            <w:t>Oxford</w:t>
          </w:r>
        </w:smartTag>
        <w:r w:rsidRPr="00BF3E04">
          <w:rPr>
            <w:sz w:val="22"/>
          </w:rPr>
          <w:t xml:space="preserve"> </w:t>
        </w:r>
        <w:smartTag w:uri="urn:schemas-microsoft-com:office:smarttags" w:element="PlaceType">
          <w:r w:rsidRPr="00BF3E04">
            <w:rPr>
              <w:sz w:val="22"/>
            </w:rPr>
            <w:t>University</w:t>
          </w:r>
        </w:smartTag>
      </w:smartTag>
      <w:r w:rsidRPr="00BF3E04">
        <w:rPr>
          <w:sz w:val="22"/>
        </w:rPr>
        <w:t xml:space="preserve"> Press).</w:t>
      </w:r>
    </w:p>
  </w:footnote>
  <w:footnote w:id="90">
    <w:p w:rsidR="00B37854" w:rsidRPr="00BF3E04" w:rsidRDefault="00B37854" w:rsidP="003F60EF">
      <w:pPr>
        <w:pStyle w:val="FootnoteText"/>
        <w:ind w:firstLine="284"/>
      </w:pPr>
      <w:r w:rsidRPr="00BF3E04">
        <w:rPr>
          <w:rStyle w:val="FootnoteReference"/>
        </w:rPr>
        <w:footnoteRef/>
      </w:r>
      <w:r w:rsidRPr="00BF3E04">
        <w:t xml:space="preserve"> </w:t>
      </w:r>
      <w:r w:rsidRPr="00BF3E04">
        <w:rPr>
          <w:i/>
        </w:rPr>
        <w:t>Isaac and Isaiah: The Covert Punishment of a Cold War Heretic</w:t>
      </w:r>
      <w:r w:rsidRPr="00BF3E04">
        <w:t xml:space="preserve"> (</w:t>
      </w:r>
      <w:smartTag w:uri="urn:schemas-microsoft-com:office:smarttags" w:element="City">
        <w:r w:rsidRPr="00BF3E04">
          <w:t>New Haven</w:t>
        </w:r>
      </w:smartTag>
      <w:r w:rsidRPr="00BF3E04">
        <w:t xml:space="preserve">, 2013: </w:t>
      </w:r>
      <w:smartTag w:uri="urn:schemas-microsoft-com:office:smarttags" w:element="place">
        <w:smartTag w:uri="urn:schemas-microsoft-com:office:smarttags" w:element="PlaceName">
          <w:r w:rsidRPr="00BF3E04">
            <w:t>Yale</w:t>
          </w:r>
        </w:smartTag>
        <w:r w:rsidRPr="00BF3E04">
          <w:t xml:space="preserve"> </w:t>
        </w:r>
        <w:smartTag w:uri="urn:schemas-microsoft-com:office:smarttags" w:element="PlaceType">
          <w:r w:rsidRPr="00BF3E04">
            <w:t>University</w:t>
          </w:r>
        </w:smartTag>
      </w:smartTag>
      <w:r w:rsidRPr="00BF3E04">
        <w:t xml:space="preserve"> Press). </w:t>
      </w:r>
    </w:p>
  </w:footnote>
  <w:footnote w:id="91">
    <w:p w:rsidR="00B37854" w:rsidRPr="00BF3E04" w:rsidRDefault="00B37854" w:rsidP="003F60EF">
      <w:pPr>
        <w:pStyle w:val="FootnoteText"/>
        <w:ind w:firstLine="284"/>
      </w:pPr>
      <w:r w:rsidRPr="00BF3E04">
        <w:rPr>
          <w:rStyle w:val="FootnoteReference"/>
        </w:rPr>
        <w:footnoteRef/>
      </w:r>
      <w:r w:rsidRPr="00BF3E04">
        <w:t xml:space="preserve"> In Dario Castiligione and Iain Hampsher-Monk (eds), </w:t>
      </w:r>
      <w:r w:rsidRPr="00BF3E04">
        <w:rPr>
          <w:i/>
        </w:rPr>
        <w:t>The History of Political Thought in National Context</w:t>
      </w:r>
      <w:r w:rsidRPr="00BF3E04">
        <w:t xml:space="preserve"> (</w:t>
      </w:r>
      <w:smartTag w:uri="urn:schemas-microsoft-com:office:smarttags" w:element="place">
        <w:smartTag w:uri="urn:schemas-microsoft-com:office:smarttags" w:element="City">
          <w:r w:rsidRPr="00BF3E04">
            <w:t>Cambridge</w:t>
          </w:r>
        </w:smartTag>
      </w:smartTag>
      <w:r w:rsidRPr="00BF3E04">
        <w:t>, 2001: Cambridge University Press), chapter 7.</w:t>
      </w:r>
    </w:p>
  </w:footnote>
  <w:footnote w:id="92">
    <w:p w:rsidR="00B37854" w:rsidRPr="00BF3E04" w:rsidRDefault="00B37854" w:rsidP="003F60EF">
      <w:pPr>
        <w:pStyle w:val="FootnoteText"/>
        <w:ind w:firstLine="284"/>
      </w:pPr>
      <w:r w:rsidRPr="00BF3E04">
        <w:rPr>
          <w:rStyle w:val="FootnoteReference"/>
        </w:rPr>
        <w:footnoteRef/>
      </w:r>
      <w:r w:rsidRPr="00BF3E04">
        <w:t xml:space="preserve"> </w:t>
      </w:r>
      <w:smartTag w:uri="urn:schemas-microsoft-com:office:smarttags" w:element="City">
        <w:r w:rsidRPr="00BF3E04">
          <w:t>London</w:t>
        </w:r>
      </w:smartTag>
      <w:r w:rsidRPr="00BF3E04">
        <w:t xml:space="preserve">, 1998: John Murray; </w:t>
      </w:r>
      <w:smartTag w:uri="urn:schemas-microsoft-com:office:smarttags" w:element="State">
        <w:smartTag w:uri="urn:schemas-microsoft-com:office:smarttags" w:element="place">
          <w:r w:rsidRPr="00BF3E04">
            <w:t>New York</w:t>
          </w:r>
        </w:smartTag>
      </w:smartTag>
      <w:r w:rsidRPr="00BF3E04">
        <w:t>, 2000: Farrar, Straus and Giroux. First published in German in 1996. For possible modifications of the account in this volume see</w:t>
      </w:r>
      <w:bookmarkStart w:id="1" w:name="thatshowitwas"/>
      <w:bookmarkEnd w:id="1"/>
      <w:r w:rsidRPr="00BF3E04">
        <w:rPr>
          <w:rFonts w:ascii="Palatino Linotype" w:hAnsi="Palatino Linotype"/>
        </w:rPr>
        <w:t xml:space="preserve"> </w:t>
      </w:r>
      <w:r w:rsidRPr="00BF3E04">
        <w:t xml:space="preserve">Josephine von Zitzewitz, ‘That’s How It Was: New Theories on Anna Akhmatova and Isaiah </w:t>
      </w:r>
      <w:smartTag w:uri="urn:schemas-microsoft-com:office:smarttags" w:element="place">
        <w:smartTag w:uri="urn:schemas-microsoft-com:office:smarttags" w:element="State">
          <w:r w:rsidRPr="00BF3E04">
            <w:t>Berlin</w:t>
          </w:r>
        </w:smartTag>
      </w:smartTag>
      <w:r w:rsidRPr="00BF3E04">
        <w:t xml:space="preserve">, Her “Guest from the Future” ’, </w:t>
      </w:r>
      <w:r w:rsidRPr="00BF3E04">
        <w:rPr>
          <w:i/>
          <w:iCs/>
        </w:rPr>
        <w:t>The Times Literary Supplement</w:t>
      </w:r>
      <w:r w:rsidRPr="00BF3E04">
        <w:t>, 9 September 2011, 14–15.</w:t>
      </w:r>
    </w:p>
  </w:footnote>
  <w:footnote w:id="93">
    <w:p w:rsidR="00B37854" w:rsidRPr="00BF3E04" w:rsidRDefault="00B37854" w:rsidP="003F60EF">
      <w:pPr>
        <w:spacing w:line="360" w:lineRule="auto"/>
        <w:ind w:firstLine="284"/>
        <w:contextualSpacing/>
      </w:pPr>
      <w:r w:rsidRPr="00BF3E04">
        <w:rPr>
          <w:rStyle w:val="FootnoteReference"/>
        </w:rPr>
        <w:footnoteRef/>
      </w:r>
      <w:r w:rsidRPr="00BF3E04">
        <w:rPr>
          <w:sz w:val="22"/>
        </w:rPr>
        <w:t xml:space="preserve"> In Jacques P. Leider, Jean-Marie Majerus, Michel Polfer and Marc Schoentgen (eds), </w:t>
      </w:r>
      <w:r w:rsidRPr="00BF3E04">
        <w:rPr>
          <w:rStyle w:val="Emphasis"/>
          <w:sz w:val="22"/>
        </w:rPr>
        <w:t>Du Luxembourg à l’Europe: hommages à Gilbert Trausch à l'occasion de son 80ème anniversaire</w:t>
      </w:r>
      <w:r w:rsidRPr="00BF3E04">
        <w:rPr>
          <w:sz w:val="22"/>
        </w:rPr>
        <w:t xml:space="preserve"> (Luxembourg, 2011: Éditions Saint-Paul), 559–69.</w:t>
      </w:r>
    </w:p>
  </w:footnote>
  <w:footnote w:id="94">
    <w:p w:rsidR="00B37854" w:rsidRPr="00BF3E04" w:rsidRDefault="00B37854" w:rsidP="003F60EF">
      <w:pPr>
        <w:spacing w:line="360" w:lineRule="auto"/>
        <w:ind w:firstLine="284"/>
        <w:contextualSpacing/>
      </w:pPr>
      <w:r w:rsidRPr="00BF3E04">
        <w:rPr>
          <w:rStyle w:val="FootnoteReference"/>
        </w:rPr>
        <w:footnoteRef/>
      </w:r>
      <w:r w:rsidRPr="00BF3E04">
        <w:rPr>
          <w:sz w:val="22"/>
        </w:rPr>
        <w:t xml:space="preserve"> </w:t>
      </w:r>
      <w:smartTag w:uri="urn:schemas-microsoft-com:office:smarttags" w:element="City">
        <w:r w:rsidRPr="00BF3E04">
          <w:rPr>
            <w:sz w:val="22"/>
          </w:rPr>
          <w:t>Oxford</w:t>
        </w:r>
      </w:smartTag>
      <w:r w:rsidRPr="00BF3E04">
        <w:rPr>
          <w:sz w:val="22"/>
        </w:rPr>
        <w:t xml:space="preserve">, 2009: </w:t>
      </w:r>
      <w:smartTag w:uri="urn:schemas-microsoft-com:office:smarttags" w:element="place">
        <w:smartTag w:uri="urn:schemas-microsoft-com:office:smarttags" w:element="PlaceName">
          <w:r w:rsidRPr="00BF3E04">
            <w:rPr>
              <w:sz w:val="22"/>
            </w:rPr>
            <w:t>Wolfson</w:t>
          </w:r>
        </w:smartTag>
        <w:r w:rsidRPr="00BF3E04">
          <w:rPr>
            <w:sz w:val="22"/>
          </w:rPr>
          <w:t xml:space="preserve"> </w:t>
        </w:r>
        <w:smartTag w:uri="urn:schemas-microsoft-com:office:smarttags" w:element="PlaceType">
          <w:r w:rsidRPr="00BF3E04">
            <w:rPr>
              <w:sz w:val="22"/>
            </w:rPr>
            <w:t>College</w:t>
          </w:r>
        </w:smartTag>
      </w:smartTag>
      <w:r w:rsidRPr="00BF3E04">
        <w:rPr>
          <w:sz w:val="22"/>
        </w:rPr>
        <w:t xml:space="preserve">. Foreword by Hermione Lee. </w:t>
      </w:r>
    </w:p>
  </w:footnote>
  <w:footnote w:id="95">
    <w:p w:rsidR="00B37854" w:rsidRPr="00BF3E04" w:rsidRDefault="00B37854" w:rsidP="003F60EF">
      <w:pPr>
        <w:spacing w:line="360" w:lineRule="auto"/>
        <w:ind w:firstLine="284"/>
        <w:contextualSpacing/>
      </w:pPr>
      <w:r w:rsidRPr="00BF3E04">
        <w:rPr>
          <w:rStyle w:val="FootnoteReference"/>
        </w:rPr>
        <w:footnoteRef/>
      </w:r>
      <w:r w:rsidRPr="00BF3E04">
        <w:rPr>
          <w:sz w:val="22"/>
        </w:rPr>
        <w:t xml:space="preserve"> </w:t>
      </w:r>
      <w:r w:rsidRPr="00BF3E04">
        <w:rPr>
          <w:i/>
          <w:sz w:val="22"/>
        </w:rPr>
        <w:t xml:space="preserve">Proceedings of the </w:t>
      </w:r>
      <w:smartTag w:uri="urn:schemas-microsoft-com:office:smarttags" w:element="place">
        <w:smartTag w:uri="urn:schemas-microsoft-com:office:smarttags" w:element="PlaceName">
          <w:r w:rsidRPr="00BF3E04">
            <w:rPr>
              <w:i/>
              <w:sz w:val="22"/>
            </w:rPr>
            <w:t>British</w:t>
          </w:r>
        </w:smartTag>
        <w:r w:rsidRPr="00BF3E04">
          <w:rPr>
            <w:i/>
            <w:sz w:val="22"/>
          </w:rPr>
          <w:t xml:space="preserve"> </w:t>
        </w:r>
        <w:smartTag w:uri="urn:schemas-microsoft-com:office:smarttags" w:element="PlaceType">
          <w:r w:rsidRPr="00BF3E04">
            <w:rPr>
              <w:i/>
              <w:sz w:val="22"/>
            </w:rPr>
            <w:t>Academy</w:t>
          </w:r>
        </w:smartTag>
      </w:smartTag>
      <w:r w:rsidRPr="00BF3E04">
        <w:rPr>
          <w:sz w:val="22"/>
        </w:rPr>
        <w:t xml:space="preserve"> 130 (2005), 3–20. This draws on and develops earlier essays from the same hand.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54" w:rsidRDefault="00B37854">
    <w:pPr>
      <w:spacing w:line="240" w:lineRule="atLeast"/>
      <w:jc w:val="right"/>
      <w:rPr>
        <w:sz w:val="22"/>
      </w:rPr>
    </w:pPr>
    <w:r>
      <w:rPr>
        <w:i/>
        <w:sz w:val="22"/>
      </w:rPr>
      <w:t>Critical bibliography</w:t>
    </w:r>
    <w:r>
      <w:rPr>
        <w:sz w:val="22"/>
      </w:rPr>
      <w:t xml:space="preserve"> </w:t>
    </w:r>
    <w:r>
      <w:rPr>
        <w:sz w:val="22"/>
      </w:rPr>
      <w:fldChar w:fldCharType="begin"/>
    </w:r>
    <w:r>
      <w:rPr>
        <w:sz w:val="22"/>
      </w:rPr>
      <w:instrText xml:space="preserve">page </w:instrText>
    </w:r>
    <w:r>
      <w:rPr>
        <w:sz w:val="22"/>
      </w:rPr>
      <w:fldChar w:fldCharType="separate"/>
    </w:r>
    <w:r>
      <w:rPr>
        <w:noProof/>
        <w:sz w:val="22"/>
      </w:rPr>
      <w:t>2</w:t>
    </w:r>
    <w:r>
      <w:rPr>
        <w:sz w:val="22"/>
      </w:rPr>
      <w:fldChar w:fldCharType="end"/>
    </w:r>
  </w:p>
  <w:p w:rsidR="00B37854" w:rsidRDefault="00B37854">
    <w:pPr>
      <w:spacing w:line="240" w:lineRule="atLeast"/>
      <w:jc w:val="both"/>
      <w:rPr>
        <w:rFonts w:ascii="Courier New" w:hAnsi="Courier Ne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54" w:rsidRDefault="00B37854">
    <w:pPr>
      <w:jc w:val="right"/>
      <w:rPr>
        <w:rFonts w:ascii="Courier New" w:hAnsi="Courier New"/>
        <w:sz w:val="22"/>
      </w:rPr>
    </w:pPr>
    <w:smartTag w:uri="urn:schemas-microsoft-com:office:smarttags" w:element="State">
      <w:smartTag w:uri="urn:schemas-microsoft-com:office:smarttags" w:element="place">
        <w:r>
          <w:rPr>
            <w:rStyle w:val="PageNumber"/>
            <w:i/>
            <w:sz w:val="22"/>
          </w:rPr>
          <w:t>Berlin</w:t>
        </w:r>
      </w:smartTag>
    </w:smartTag>
    <w:r>
      <w:rPr>
        <w:rStyle w:val="PageNumber"/>
        <w:i/>
        <w:sz w:val="22"/>
      </w:rPr>
      <w:t xml:space="preserve"> and his critics    </w:t>
    </w:r>
    <w:r>
      <w:rPr>
        <w:rStyle w:val="PageNumber"/>
        <w:sz w:val="22"/>
      </w:rPr>
      <w:fldChar w:fldCharType="begin"/>
    </w:r>
    <w:r>
      <w:rPr>
        <w:rStyle w:val="PageNumber"/>
        <w:sz w:val="22"/>
      </w:rPr>
      <w:instrText xml:space="preserve"> PAGE </w:instrText>
    </w:r>
    <w:r>
      <w:rPr>
        <w:rStyle w:val="PageNumber"/>
        <w:sz w:val="22"/>
      </w:rPr>
      <w:fldChar w:fldCharType="separate"/>
    </w:r>
    <w:r w:rsidR="00D962AA">
      <w:rPr>
        <w:rStyle w:val="PageNumber"/>
        <w:noProof/>
        <w:sz w:val="22"/>
      </w:rPr>
      <w:t>10</w:t>
    </w:r>
    <w:r>
      <w:rPr>
        <w:rStyle w:val="PageNumber"/>
        <w:sz w:val="22"/>
      </w:rPr>
      <w:fldChar w:fldCharType="end"/>
    </w:r>
  </w:p>
  <w:p w:rsidR="00B37854" w:rsidRDefault="00B37854">
    <w:pPr>
      <w:jc w:val="right"/>
      <w:rPr>
        <w:rFonts w:ascii="Courier New" w:hAnsi="Courier New"/>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D"/>
    <w:rsid w:val="000E78F8"/>
    <w:rsid w:val="00135112"/>
    <w:rsid w:val="0017679C"/>
    <w:rsid w:val="001A5CBF"/>
    <w:rsid w:val="001B363B"/>
    <w:rsid w:val="001E6B03"/>
    <w:rsid w:val="002468B6"/>
    <w:rsid w:val="00252360"/>
    <w:rsid w:val="002C111A"/>
    <w:rsid w:val="00330D62"/>
    <w:rsid w:val="00376199"/>
    <w:rsid w:val="003F60EF"/>
    <w:rsid w:val="00400DF5"/>
    <w:rsid w:val="0040717C"/>
    <w:rsid w:val="004962B0"/>
    <w:rsid w:val="0050526E"/>
    <w:rsid w:val="00517AFD"/>
    <w:rsid w:val="00520A7A"/>
    <w:rsid w:val="005A546D"/>
    <w:rsid w:val="005A5D97"/>
    <w:rsid w:val="00641E35"/>
    <w:rsid w:val="00656309"/>
    <w:rsid w:val="006843BC"/>
    <w:rsid w:val="006850EC"/>
    <w:rsid w:val="0078449B"/>
    <w:rsid w:val="0078614D"/>
    <w:rsid w:val="007A0EDE"/>
    <w:rsid w:val="007E0765"/>
    <w:rsid w:val="008823DD"/>
    <w:rsid w:val="00A30F51"/>
    <w:rsid w:val="00B01ED6"/>
    <w:rsid w:val="00B37854"/>
    <w:rsid w:val="00B4518E"/>
    <w:rsid w:val="00B95509"/>
    <w:rsid w:val="00BD16C1"/>
    <w:rsid w:val="00BF3E04"/>
    <w:rsid w:val="00C0442C"/>
    <w:rsid w:val="00C0667A"/>
    <w:rsid w:val="00C5359A"/>
    <w:rsid w:val="00CC061D"/>
    <w:rsid w:val="00D25A86"/>
    <w:rsid w:val="00D92717"/>
    <w:rsid w:val="00D962AA"/>
    <w:rsid w:val="00DA29DA"/>
    <w:rsid w:val="00DC3BCE"/>
    <w:rsid w:val="00DC7979"/>
    <w:rsid w:val="00E57E95"/>
    <w:rsid w:val="00E8020A"/>
    <w:rsid w:val="00EC0CC5"/>
    <w:rsid w:val="00EE4836"/>
    <w:rsid w:val="00F15B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rFonts w:ascii="Arial" w:hAnsi="Arial"/>
      <w:sz w:val="18"/>
    </w:rPr>
  </w:style>
  <w:style w:type="paragraph" w:styleId="FootnoteText">
    <w:name w:val="footnote text"/>
    <w:basedOn w:val="Normal"/>
    <w:semiHidden/>
    <w:pPr>
      <w:spacing w:line="360" w:lineRule="auto"/>
      <w:ind w:firstLine="720"/>
    </w:pPr>
    <w:rPr>
      <w:sz w:val="22"/>
    </w:rPr>
  </w:style>
  <w:style w:type="character" w:styleId="FootnoteReference">
    <w:name w:val="footnote reference"/>
    <w:rsid w:val="007A0EDE"/>
    <w:rPr>
      <w:position w:val="0"/>
      <w:szCs w:val="24"/>
      <w:vertAlign w:val="superscript"/>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FootnoteText1">
    <w:name w:val="Footnote Text1"/>
    <w:basedOn w:val="Normal"/>
    <w:rsid w:val="007A0EDE"/>
    <w:pPr>
      <w:tabs>
        <w:tab w:val="left" w:pos="1440"/>
      </w:tabs>
      <w:spacing w:line="360" w:lineRule="auto"/>
      <w:ind w:firstLine="284"/>
    </w:pPr>
    <w:rPr>
      <w:sz w:val="22"/>
      <w:szCs w:val="22"/>
      <w:lang w:eastAsia="en-US"/>
    </w:rPr>
  </w:style>
  <w:style w:type="character" w:styleId="Emphasis">
    <w:name w:val="Emphasis"/>
    <w:uiPriority w:val="99"/>
    <w:qFormat/>
    <w:rsid w:val="003F60EF"/>
    <w:rPr>
      <w:rFonts w:cs="Times New Roman"/>
      <w:i/>
      <w:iCs/>
    </w:rPr>
  </w:style>
  <w:style w:type="paragraph" w:styleId="NormalWeb">
    <w:name w:val="Normal (Web)"/>
    <w:basedOn w:val="Normal"/>
    <w:uiPriority w:val="99"/>
    <w:semiHidden/>
    <w:rsid w:val="003F60EF"/>
    <w:pPr>
      <w:spacing w:line="360" w:lineRule="auto"/>
      <w:ind w:firstLine="284"/>
    </w:pPr>
    <w:rPr>
      <w:rFonts w:ascii="Times New Roman" w:hAnsi="Times New Roman"/>
      <w:szCs w:val="24"/>
      <w:lang w:val="en-US" w:eastAsia="en-US"/>
    </w:rPr>
  </w:style>
  <w:style w:type="character" w:styleId="HTMLCite">
    <w:name w:val="HTML Cite"/>
    <w:uiPriority w:val="99"/>
    <w:semiHidden/>
    <w:rsid w:val="003F60EF"/>
    <w:rPr>
      <w:rFonts w:cs="Times New Roman"/>
      <w:i/>
      <w:iCs/>
    </w:rPr>
  </w:style>
  <w:style w:type="paragraph" w:styleId="BalloonText">
    <w:name w:val="Balloon Text"/>
    <w:basedOn w:val="Normal"/>
    <w:link w:val="BalloonTextChar"/>
    <w:uiPriority w:val="99"/>
    <w:semiHidden/>
    <w:unhideWhenUsed/>
    <w:rsid w:val="00C5359A"/>
    <w:rPr>
      <w:rFonts w:ascii="Tahoma" w:hAnsi="Tahoma" w:cs="Tahoma"/>
      <w:sz w:val="16"/>
      <w:szCs w:val="16"/>
    </w:rPr>
  </w:style>
  <w:style w:type="character" w:customStyle="1" w:styleId="BalloonTextChar">
    <w:name w:val="Balloon Text Char"/>
    <w:basedOn w:val="DefaultParagraphFont"/>
    <w:link w:val="BalloonText"/>
    <w:uiPriority w:val="99"/>
    <w:semiHidden/>
    <w:rsid w:val="00C53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rFonts w:ascii="Arial" w:hAnsi="Arial"/>
      <w:sz w:val="18"/>
    </w:rPr>
  </w:style>
  <w:style w:type="paragraph" w:styleId="FootnoteText">
    <w:name w:val="footnote text"/>
    <w:basedOn w:val="Normal"/>
    <w:semiHidden/>
    <w:pPr>
      <w:spacing w:line="360" w:lineRule="auto"/>
      <w:ind w:firstLine="720"/>
    </w:pPr>
    <w:rPr>
      <w:sz w:val="22"/>
    </w:rPr>
  </w:style>
  <w:style w:type="character" w:styleId="FootnoteReference">
    <w:name w:val="footnote reference"/>
    <w:rsid w:val="007A0EDE"/>
    <w:rPr>
      <w:position w:val="0"/>
      <w:szCs w:val="24"/>
      <w:vertAlign w:val="superscript"/>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FootnoteText1">
    <w:name w:val="Footnote Text1"/>
    <w:basedOn w:val="Normal"/>
    <w:rsid w:val="007A0EDE"/>
    <w:pPr>
      <w:tabs>
        <w:tab w:val="left" w:pos="1440"/>
      </w:tabs>
      <w:spacing w:line="360" w:lineRule="auto"/>
      <w:ind w:firstLine="284"/>
    </w:pPr>
    <w:rPr>
      <w:sz w:val="22"/>
      <w:szCs w:val="22"/>
      <w:lang w:eastAsia="en-US"/>
    </w:rPr>
  </w:style>
  <w:style w:type="character" w:styleId="Emphasis">
    <w:name w:val="Emphasis"/>
    <w:uiPriority w:val="99"/>
    <w:qFormat/>
    <w:rsid w:val="003F60EF"/>
    <w:rPr>
      <w:rFonts w:cs="Times New Roman"/>
      <w:i/>
      <w:iCs/>
    </w:rPr>
  </w:style>
  <w:style w:type="paragraph" w:styleId="NormalWeb">
    <w:name w:val="Normal (Web)"/>
    <w:basedOn w:val="Normal"/>
    <w:uiPriority w:val="99"/>
    <w:semiHidden/>
    <w:rsid w:val="003F60EF"/>
    <w:pPr>
      <w:spacing w:line="360" w:lineRule="auto"/>
      <w:ind w:firstLine="284"/>
    </w:pPr>
    <w:rPr>
      <w:rFonts w:ascii="Times New Roman" w:hAnsi="Times New Roman"/>
      <w:szCs w:val="24"/>
      <w:lang w:val="en-US" w:eastAsia="en-US"/>
    </w:rPr>
  </w:style>
  <w:style w:type="character" w:styleId="HTMLCite">
    <w:name w:val="HTML Cite"/>
    <w:uiPriority w:val="99"/>
    <w:semiHidden/>
    <w:rsid w:val="003F60EF"/>
    <w:rPr>
      <w:rFonts w:cs="Times New Roman"/>
      <w:i/>
      <w:iCs/>
    </w:rPr>
  </w:style>
  <w:style w:type="paragraph" w:styleId="BalloonText">
    <w:name w:val="Balloon Text"/>
    <w:basedOn w:val="Normal"/>
    <w:link w:val="BalloonTextChar"/>
    <w:uiPriority w:val="99"/>
    <w:semiHidden/>
    <w:unhideWhenUsed/>
    <w:rsid w:val="00C5359A"/>
    <w:rPr>
      <w:rFonts w:ascii="Tahoma" w:hAnsi="Tahoma" w:cs="Tahoma"/>
      <w:sz w:val="16"/>
      <w:szCs w:val="16"/>
    </w:rPr>
  </w:style>
  <w:style w:type="character" w:customStyle="1" w:styleId="BalloonTextChar">
    <w:name w:val="Balloon Text Char"/>
    <w:basedOn w:val="DefaultParagraphFont"/>
    <w:link w:val="BalloonText"/>
    <w:uiPriority w:val="99"/>
    <w:semiHidden/>
    <w:rsid w:val="00C53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Notes for Monash</vt:lpstr>
    </vt:vector>
  </TitlesOfParts>
  <Company>Wolfson College</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Monash</dc:title>
  <dc:creator>Henry Hardy</dc:creator>
  <cp:lastModifiedBy>HENRY</cp:lastModifiedBy>
  <cp:revision>3</cp:revision>
  <cp:lastPrinted>2001-09-19T10:21:00Z</cp:lastPrinted>
  <dcterms:created xsi:type="dcterms:W3CDTF">2016-09-05T11:20:00Z</dcterms:created>
  <dcterms:modified xsi:type="dcterms:W3CDTF">2016-09-05T11:21:00Z</dcterms:modified>
</cp:coreProperties>
</file>